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39"/>
      </w:tblGrid>
      <w:tr w:rsidR="00DC0114" w:rsidRPr="00D12C01" w14:paraId="0E72F113" w14:textId="77777777" w:rsidTr="00C331F7">
        <w:tc>
          <w:tcPr>
            <w:tcW w:w="7513" w:type="dxa"/>
          </w:tcPr>
          <w:p w14:paraId="65DBDECA" w14:textId="77777777" w:rsidR="00DC0114" w:rsidRDefault="00DC0114" w:rsidP="00C331F7">
            <w:pPr>
              <w:pStyle w:val="Title"/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Data Protection Complaints Procedure</w:t>
            </w:r>
            <w:r w:rsidRPr="00D12C01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u w:val="single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  <w:u w:val="single"/>
              </w:rPr>
              <w:t>Obscure Technology (PTY) LTD</w:t>
            </w:r>
          </w:p>
          <w:p w14:paraId="4DEB41EE" w14:textId="3EFEE7C4" w:rsidR="00DC0114" w:rsidRPr="00D12C01" w:rsidRDefault="00DC0114" w:rsidP="00C331F7">
            <w:pPr>
              <w:pStyle w:val="Title"/>
              <w:spacing w:before="0" w:after="0"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  <w:u w:val="single"/>
                <w:lang w:val="en-ZA" w:eastAsia="ar-SA"/>
              </w:rPr>
            </w:pPr>
            <w:r w:rsidRPr="00D12C01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(collectively known for purposes of this document “the Company”)</w:t>
            </w:r>
          </w:p>
        </w:tc>
        <w:tc>
          <w:tcPr>
            <w:tcW w:w="1639" w:type="dxa"/>
          </w:tcPr>
          <w:p w14:paraId="554D383A" w14:textId="77777777" w:rsidR="00DC0114" w:rsidRPr="00D12C01" w:rsidRDefault="00DC0114" w:rsidP="00C331F7">
            <w:pPr>
              <w:pStyle w:val="Title"/>
              <w:spacing w:before="0" w:after="0" w:line="276" w:lineRule="auto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A971DDF" w14:textId="77777777" w:rsidR="00DC0114" w:rsidRDefault="00DC0114" w:rsidP="00DC0114">
      <w:pPr>
        <w:spacing w:after="0" w:line="276" w:lineRule="auto"/>
        <w:rPr>
          <w:rFonts w:asciiTheme="majorHAnsi" w:hAnsiTheme="majorHAnsi" w:cstheme="majorHAnsi"/>
          <w:b/>
          <w:bCs/>
          <w:szCs w:val="20"/>
        </w:rPr>
      </w:pPr>
    </w:p>
    <w:p w14:paraId="4261E827" w14:textId="77777777" w:rsidR="00DC0114" w:rsidRPr="00D12C01" w:rsidRDefault="00DC0114" w:rsidP="00DC0114">
      <w:pPr>
        <w:spacing w:after="0" w:line="276" w:lineRule="auto"/>
        <w:rPr>
          <w:rFonts w:asciiTheme="majorHAnsi" w:hAnsiTheme="majorHAnsi" w:cstheme="majorHAnsi"/>
          <w:szCs w:val="20"/>
        </w:rPr>
      </w:pPr>
      <w:r w:rsidRPr="00D12C01">
        <w:rPr>
          <w:rFonts w:asciiTheme="majorHAnsi" w:hAnsiTheme="majorHAnsi" w:cstheme="majorHAnsi"/>
          <w:b/>
          <w:bCs/>
          <w:szCs w:val="20"/>
        </w:rPr>
        <w:t>Approver:</w:t>
      </w:r>
      <w:r w:rsidRPr="00D12C01">
        <w:rPr>
          <w:rFonts w:asciiTheme="majorHAnsi" w:hAnsiTheme="majorHAnsi" w:cstheme="majorHAnsi"/>
          <w:szCs w:val="20"/>
        </w:rPr>
        <w:t xml:space="preserve"> Company Management Team</w:t>
      </w:r>
    </w:p>
    <w:p w14:paraId="4113E879" w14:textId="77777777" w:rsidR="00DC0114" w:rsidRPr="00D12C01" w:rsidRDefault="00DC0114" w:rsidP="00DC0114">
      <w:pPr>
        <w:spacing w:after="0" w:line="276" w:lineRule="auto"/>
        <w:rPr>
          <w:rFonts w:asciiTheme="majorHAnsi" w:hAnsiTheme="majorHAnsi" w:cstheme="majorHAnsi"/>
          <w:szCs w:val="20"/>
        </w:rPr>
      </w:pPr>
      <w:r w:rsidRPr="00D12C01">
        <w:rPr>
          <w:rFonts w:asciiTheme="majorHAnsi" w:hAnsiTheme="majorHAnsi" w:cstheme="majorHAnsi"/>
          <w:b/>
          <w:bCs/>
          <w:szCs w:val="20"/>
        </w:rPr>
        <w:t>Scope:</w:t>
      </w:r>
      <w:r w:rsidRPr="00D12C01">
        <w:rPr>
          <w:rFonts w:asciiTheme="majorHAnsi" w:hAnsiTheme="majorHAnsi" w:cstheme="majorHAnsi"/>
          <w:szCs w:val="20"/>
        </w:rPr>
        <w:t xml:space="preserve"> Applies to all employees and activities undertaken by the Company</w:t>
      </w:r>
    </w:p>
    <w:p w14:paraId="33CA4EA9" w14:textId="77777777" w:rsidR="00DC0114" w:rsidRPr="00D12C01" w:rsidRDefault="00DC0114" w:rsidP="00DC0114">
      <w:pPr>
        <w:spacing w:after="0" w:line="276" w:lineRule="auto"/>
        <w:rPr>
          <w:rFonts w:asciiTheme="majorHAnsi" w:hAnsiTheme="majorHAnsi" w:cstheme="majorHAnsi"/>
          <w:szCs w:val="20"/>
        </w:rPr>
      </w:pPr>
      <w:r w:rsidRPr="00D12C01">
        <w:rPr>
          <w:rFonts w:asciiTheme="majorHAnsi" w:hAnsiTheme="majorHAnsi" w:cstheme="majorHAnsi"/>
          <w:b/>
          <w:bCs/>
          <w:szCs w:val="20"/>
        </w:rPr>
        <w:t>Approval date:</w:t>
      </w:r>
      <w:r w:rsidRPr="00D12C01">
        <w:rPr>
          <w:rFonts w:asciiTheme="majorHAnsi" w:hAnsiTheme="majorHAnsi" w:cstheme="majorHAnsi"/>
          <w:szCs w:val="20"/>
        </w:rPr>
        <w:t xml:space="preserve"> 23 June 2021</w:t>
      </w:r>
    </w:p>
    <w:p w14:paraId="73388807" w14:textId="77777777" w:rsidR="00DC0114" w:rsidRDefault="00DC0114" w:rsidP="00DC0114">
      <w:pPr>
        <w:spacing w:after="0" w:line="276" w:lineRule="auto"/>
        <w:rPr>
          <w:rFonts w:asciiTheme="majorHAnsi" w:hAnsiTheme="majorHAnsi" w:cstheme="majorHAnsi"/>
          <w:szCs w:val="20"/>
        </w:rPr>
      </w:pPr>
      <w:r w:rsidRPr="00D12C01">
        <w:rPr>
          <w:rFonts w:asciiTheme="majorHAnsi" w:hAnsiTheme="majorHAnsi" w:cstheme="majorHAnsi"/>
          <w:b/>
          <w:bCs/>
          <w:szCs w:val="20"/>
        </w:rPr>
        <w:t>Next review date:</w:t>
      </w:r>
      <w:r w:rsidRPr="00D12C01">
        <w:rPr>
          <w:rFonts w:asciiTheme="majorHAnsi" w:hAnsiTheme="majorHAnsi" w:cstheme="majorHAnsi"/>
          <w:szCs w:val="20"/>
        </w:rPr>
        <w:t xml:space="preserve"> TBC</w:t>
      </w:r>
    </w:p>
    <w:p w14:paraId="5AC75E31" w14:textId="77777777" w:rsidR="00DC0114" w:rsidRDefault="00DC0114" w:rsidP="00DC0114">
      <w:pPr>
        <w:spacing w:after="0" w:line="276" w:lineRule="auto"/>
        <w:rPr>
          <w:rFonts w:asciiTheme="majorHAnsi" w:hAnsiTheme="majorHAnsi" w:cstheme="majorHAnsi"/>
          <w:szCs w:val="20"/>
        </w:rPr>
      </w:pPr>
    </w:p>
    <w:p w14:paraId="2D755C23" w14:textId="77777777" w:rsidR="00DC0114" w:rsidRPr="00E26612" w:rsidRDefault="00DC0114" w:rsidP="00DC0114">
      <w:pPr>
        <w:pStyle w:val="ListParagraph"/>
        <w:widowControl/>
        <w:numPr>
          <w:ilvl w:val="0"/>
          <w:numId w:val="3"/>
        </w:numPr>
        <w:autoSpaceDE/>
        <w:autoSpaceDN/>
        <w:spacing w:after="0" w:line="276" w:lineRule="auto"/>
        <w:contextualSpacing/>
        <w:jc w:val="both"/>
        <w:rPr>
          <w:rFonts w:asciiTheme="majorHAnsi" w:hAnsiTheme="majorHAnsi" w:cstheme="majorHAnsi"/>
          <w:b/>
          <w:bCs/>
          <w:szCs w:val="20"/>
        </w:rPr>
      </w:pPr>
      <w:r w:rsidRPr="00E26612">
        <w:rPr>
          <w:rFonts w:asciiTheme="majorHAnsi" w:hAnsiTheme="majorHAnsi" w:cstheme="majorHAnsi"/>
          <w:b/>
          <w:bCs/>
          <w:color w:val="000000"/>
          <w:szCs w:val="20"/>
        </w:rPr>
        <w:t>Introduction</w:t>
      </w:r>
    </w:p>
    <w:p w14:paraId="0A5C787E" w14:textId="77777777" w:rsidR="00DC0114" w:rsidRPr="00E26612" w:rsidRDefault="00DC0114" w:rsidP="00DC0114">
      <w:pPr>
        <w:spacing w:after="0" w:line="276" w:lineRule="auto"/>
        <w:jc w:val="both"/>
        <w:rPr>
          <w:rFonts w:asciiTheme="majorHAnsi" w:hAnsiTheme="majorHAnsi" w:cstheme="majorHAnsi"/>
          <w:szCs w:val="20"/>
        </w:rPr>
      </w:pPr>
      <w:r w:rsidRPr="00E26612">
        <w:rPr>
          <w:rFonts w:asciiTheme="majorHAnsi" w:hAnsiTheme="majorHAnsi" w:cstheme="majorHAnsi"/>
          <w:color w:val="000000"/>
          <w:szCs w:val="20"/>
        </w:rPr>
        <w:t xml:space="preserve">The POPI Act deals with complaints in some length under chapter 10 (Enforcement). </w:t>
      </w:r>
    </w:p>
    <w:p w14:paraId="18874215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In terms of section 74, any person may submit a complaint to the Regulator in the prescribed manner and form alleging interference with the protection of the personal information of a </w:t>
      </w:r>
      <w:r>
        <w:rPr>
          <w:rFonts w:asciiTheme="majorHAnsi" w:hAnsiTheme="majorHAnsi" w:cstheme="majorHAnsi"/>
          <w:color w:val="000000"/>
          <w:sz w:val="20"/>
          <w:szCs w:val="20"/>
        </w:rPr>
        <w:t>D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>ata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Subject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. A complaint to the Regulator must be made in writing. </w:t>
      </w:r>
    </w:p>
    <w:p w14:paraId="17FEDDF9" w14:textId="77777777" w:rsidR="00DC0114" w:rsidRPr="00E26612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79651BB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If an Information Supplier, Responsible Party or Data Subject feels that </w:t>
      </w:r>
      <w:r>
        <w:rPr>
          <w:rFonts w:asciiTheme="majorHAnsi" w:hAnsiTheme="majorHAnsi" w:cstheme="majorHAnsi"/>
          <w:color w:val="000000"/>
          <w:sz w:val="20"/>
          <w:szCs w:val="20"/>
        </w:rPr>
        <w:t>the Company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 has acted outside of the requirements of POPI or in terms of the conditions by which </w:t>
      </w:r>
      <w:r>
        <w:rPr>
          <w:rFonts w:asciiTheme="majorHAnsi" w:hAnsiTheme="majorHAnsi" w:cstheme="majorHAnsi"/>
          <w:color w:val="000000"/>
          <w:sz w:val="20"/>
          <w:szCs w:val="20"/>
        </w:rPr>
        <w:t>the Company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 had processed a Data Subjects' Personal Information, we would like to invite such a person to address their complaint to us in writing at the details below. </w:t>
      </w:r>
    </w:p>
    <w:p w14:paraId="4CCA3638" w14:textId="77777777" w:rsidR="00DC0114" w:rsidRPr="00E26612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48EE088" w14:textId="77777777" w:rsidR="00DC0114" w:rsidRPr="00E26612" w:rsidRDefault="00DC0114" w:rsidP="00DC011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26612">
        <w:rPr>
          <w:rFonts w:asciiTheme="majorHAnsi" w:hAnsiTheme="majorHAnsi" w:cstheme="majorHAnsi"/>
          <w:b/>
          <w:bCs/>
          <w:sz w:val="20"/>
          <w:szCs w:val="20"/>
        </w:rPr>
        <w:t xml:space="preserve">To determine if it is a POPI complaint </w:t>
      </w:r>
    </w:p>
    <w:p w14:paraId="7848813E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If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the Data Subject 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alleges that </w:t>
      </w:r>
      <w:r>
        <w:rPr>
          <w:rFonts w:asciiTheme="majorHAnsi" w:hAnsiTheme="majorHAnsi" w:cstheme="majorHAnsi"/>
          <w:color w:val="000000"/>
          <w:sz w:val="20"/>
          <w:szCs w:val="20"/>
        </w:rPr>
        <w:t>the Company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 or its representatives: </w:t>
      </w:r>
    </w:p>
    <w:p w14:paraId="10931E70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>Were not authorised to process an individual's personal information</w:t>
      </w:r>
      <w:r>
        <w:rPr>
          <w:rFonts w:asciiTheme="majorHAnsi" w:hAnsiTheme="majorHAnsi" w:cstheme="majorHAnsi"/>
          <w:color w:val="000000"/>
          <w:sz w:val="20"/>
          <w:szCs w:val="20"/>
        </w:rPr>
        <w:t>;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77036C5A" w14:textId="77777777" w:rsidR="00DC0114" w:rsidRPr="00E26612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>Have processed, shared or otherwise dealt with personal information outside of terms agreed with that party</w:t>
      </w:r>
      <w:r>
        <w:rPr>
          <w:rFonts w:asciiTheme="majorHAnsi" w:hAnsiTheme="majorHAnsi" w:cstheme="majorHAnsi"/>
          <w:color w:val="000000"/>
          <w:sz w:val="20"/>
          <w:szCs w:val="20"/>
        </w:rPr>
        <w:t>; or</w:t>
      </w:r>
    </w:p>
    <w:p w14:paraId="5960A557" w14:textId="77777777" w:rsidR="00DC0114" w:rsidRPr="00E26612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>Have otherwise contravened or failed to comply with any provision of the POPI Act</w:t>
      </w:r>
      <w:r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6BB3E321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>It should be treated as a POPI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complaint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. The person or institution lodging the complaint is hereinafter referred to as "the </w:t>
      </w:r>
      <w:r>
        <w:rPr>
          <w:rFonts w:asciiTheme="majorHAnsi" w:hAnsiTheme="majorHAnsi" w:cstheme="majorHAnsi"/>
          <w:color w:val="000000"/>
          <w:sz w:val="20"/>
          <w:szCs w:val="20"/>
        </w:rPr>
        <w:t>C</w:t>
      </w: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omplainant". </w:t>
      </w:r>
    </w:p>
    <w:p w14:paraId="6F1D51BC" w14:textId="77777777" w:rsidR="00DC0114" w:rsidRPr="00E26612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2D5971A" w14:textId="77777777" w:rsidR="00DC0114" w:rsidRPr="00B91A63" w:rsidRDefault="00DC0114" w:rsidP="00DC011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I</w:t>
      </w:r>
      <w:r w:rsidRPr="00E26612">
        <w:rPr>
          <w:rFonts w:asciiTheme="majorHAnsi" w:hAnsiTheme="majorHAnsi" w:cstheme="majorHAnsi"/>
          <w:b/>
          <w:bCs/>
          <w:sz w:val="20"/>
          <w:szCs w:val="20"/>
        </w:rPr>
        <w:t xml:space="preserve">nternal complaint resolution procedure </w:t>
      </w:r>
    </w:p>
    <w:p w14:paraId="67129962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sz w:val="20"/>
          <w:szCs w:val="20"/>
        </w:rPr>
        <w:t xml:space="preserve">If a complaint against </w:t>
      </w:r>
      <w:r>
        <w:rPr>
          <w:rFonts w:asciiTheme="majorHAnsi" w:hAnsiTheme="majorHAnsi" w:cstheme="majorHAnsi"/>
          <w:sz w:val="20"/>
          <w:szCs w:val="20"/>
        </w:rPr>
        <w:t>the Company</w:t>
      </w:r>
      <w:r w:rsidRPr="00E26612">
        <w:rPr>
          <w:rFonts w:asciiTheme="majorHAnsi" w:hAnsiTheme="majorHAnsi" w:cstheme="majorHAnsi"/>
          <w:sz w:val="20"/>
          <w:szCs w:val="20"/>
        </w:rPr>
        <w:t xml:space="preserve"> is not in writing, </w:t>
      </w:r>
      <w:r>
        <w:rPr>
          <w:rFonts w:asciiTheme="majorHAnsi" w:hAnsiTheme="majorHAnsi" w:cstheme="majorHAnsi"/>
          <w:sz w:val="20"/>
          <w:szCs w:val="20"/>
        </w:rPr>
        <w:t>the Company</w:t>
      </w:r>
      <w:r w:rsidRPr="00E26612">
        <w:rPr>
          <w:rFonts w:asciiTheme="majorHAnsi" w:hAnsiTheme="majorHAnsi" w:cstheme="majorHAnsi"/>
          <w:sz w:val="20"/>
          <w:szCs w:val="20"/>
        </w:rPr>
        <w:t xml:space="preserve"> must request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E26612">
        <w:rPr>
          <w:rFonts w:asciiTheme="majorHAnsi" w:hAnsiTheme="majorHAnsi" w:cstheme="majorHAnsi"/>
          <w:sz w:val="20"/>
          <w:szCs w:val="20"/>
        </w:rPr>
        <w:t>omplainant to lodge the complaint in writing and to provide the necessary supporting documentation</w:t>
      </w:r>
      <w:r>
        <w:rPr>
          <w:rFonts w:asciiTheme="majorHAnsi" w:hAnsiTheme="majorHAnsi" w:cstheme="majorHAnsi"/>
          <w:sz w:val="20"/>
          <w:szCs w:val="20"/>
        </w:rPr>
        <w:t xml:space="preserve">; </w:t>
      </w:r>
    </w:p>
    <w:p w14:paraId="4F9335BE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sz w:val="20"/>
          <w:szCs w:val="20"/>
        </w:rPr>
        <w:t>The Information Officer will receive the written complaint and supporting documentation</w:t>
      </w:r>
      <w:r>
        <w:rPr>
          <w:rFonts w:asciiTheme="majorHAnsi" w:hAnsiTheme="majorHAnsi" w:cstheme="majorHAnsi"/>
          <w:sz w:val="20"/>
          <w:szCs w:val="20"/>
        </w:rPr>
        <w:t>;</w:t>
      </w:r>
      <w:r w:rsidRPr="00E26612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819E80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sz w:val="20"/>
          <w:szCs w:val="20"/>
        </w:rPr>
        <w:t>The Information Officer will log the date and contents of the complaint in the Complaints Register. This record must be maintained for a period of five years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50AA8498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sz w:val="20"/>
          <w:szCs w:val="20"/>
        </w:rPr>
        <w:t>The Information Officer will appoint a relevant staff member/s to investigate the complaint;</w:t>
      </w:r>
    </w:p>
    <w:p w14:paraId="38AD8ADE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The Information Officer will acknowledge receipt of the complaint in writing within 3 business days of receipt, and give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>omplainant the name and contact details of the staff member/s responsible for the resolution of the complaint;</w:t>
      </w:r>
    </w:p>
    <w:p w14:paraId="74B543B5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>The relevant internal department or staff member/s and any other resources or manpower, will investigate the complaint to ascertain whether the complaint can be resolved immediately;</w:t>
      </w:r>
    </w:p>
    <w:p w14:paraId="68F36785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>If the complaint is of a serious nature, the complaint will be handled and investigated by the Information Officer or any other senior staff / executive management;</w:t>
      </w:r>
    </w:p>
    <w:p w14:paraId="5CD74164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If the complaint can be resolved immediately, the relevant staff member/s will take the necessary action and advise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accordingly; </w:t>
      </w:r>
    </w:p>
    <w:p w14:paraId="48F47EA2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If the complaint cannot be resolved immediately,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ompliance will send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a written summary of the steps to be taken to resolve the matter and the expected date of resolution; </w:t>
      </w:r>
    </w:p>
    <w:p w14:paraId="66AAD681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lastRenderedPageBreak/>
        <w:t xml:space="preserve"> If unable to resolve the complaint within 3 weeks of logging the complaint in the Complaints Register,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ompliance will notify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by means of a written acknowledgement. This must outline the current status of the complaint and the expected date of final resolution; </w:t>
      </w:r>
    </w:p>
    <w:p w14:paraId="42F401E8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If unable to resolve the complaint within a further 3 weeks of the written acknowledgement (6 weeks since complaint was logged),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ompliance will notify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omplainant, giving full written reasons as to why the outcome was not favourable, and advise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of their right to seek legal redress by referring the complaint to the Information Regulator; </w:t>
      </w:r>
    </w:p>
    <w:p w14:paraId="25FA0277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 The notification must clearly indicate that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may refer the matter to the Information Regulator. The Information Regulator’s address and other contact details must be provided to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omplainant; </w:t>
      </w:r>
    </w:p>
    <w:p w14:paraId="033D5943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 The relevant internal department or staff member/s investigating the complaint must keep the </w:t>
      </w:r>
      <w:r w:rsidRPr="00E26612">
        <w:rPr>
          <w:rFonts w:asciiTheme="majorHAnsi" w:hAnsiTheme="majorHAnsi" w:cstheme="majorHAnsi"/>
          <w:sz w:val="20"/>
          <w:szCs w:val="20"/>
        </w:rPr>
        <w:t>Information Officer</w:t>
      </w:r>
      <w:r w:rsidRPr="00B91A63">
        <w:rPr>
          <w:rFonts w:asciiTheme="majorHAnsi" w:hAnsiTheme="majorHAnsi" w:cstheme="majorHAnsi"/>
          <w:sz w:val="20"/>
          <w:szCs w:val="20"/>
        </w:rPr>
        <w:t xml:space="preserve"> and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ompliance up to date with the investigation; </w:t>
      </w:r>
    </w:p>
    <w:p w14:paraId="6396247F" w14:textId="77777777" w:rsidR="00DC0114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 As soon as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ompliance receives any updates, developments and activities regarding the complaint, they must update the Complaints Register with all developments and activities. </w:t>
      </w:r>
    </w:p>
    <w:p w14:paraId="12030F15" w14:textId="77777777" w:rsidR="00DC0114" w:rsidRDefault="00DC0114" w:rsidP="00DC0114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</w:p>
    <w:p w14:paraId="1A66552C" w14:textId="77777777" w:rsidR="00DC0114" w:rsidRPr="00B91A63" w:rsidRDefault="00DC0114" w:rsidP="00DC011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B91A63">
        <w:rPr>
          <w:rFonts w:asciiTheme="majorHAnsi" w:hAnsiTheme="majorHAnsi" w:cstheme="majorHAnsi"/>
          <w:b/>
          <w:bCs/>
          <w:sz w:val="20"/>
          <w:szCs w:val="20"/>
        </w:rPr>
        <w:t xml:space="preserve">Complaints Process Flow </w:t>
      </w:r>
    </w:p>
    <w:p w14:paraId="62DE49D5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Complainant lodges a complaint with </w:t>
      </w:r>
      <w:r>
        <w:rPr>
          <w:rFonts w:asciiTheme="majorHAnsi" w:hAnsiTheme="majorHAnsi" w:cstheme="majorHAnsi"/>
          <w:sz w:val="20"/>
          <w:szCs w:val="20"/>
        </w:rPr>
        <w:t>the Company</w:t>
      </w:r>
      <w:r w:rsidRPr="00E26612">
        <w:rPr>
          <w:rFonts w:asciiTheme="majorHAnsi" w:hAnsiTheme="majorHAnsi" w:cstheme="majorHAnsi"/>
          <w:sz w:val="20"/>
          <w:szCs w:val="20"/>
        </w:rPr>
        <w:t xml:space="preserve"> </w:t>
      </w:r>
      <w:r w:rsidRPr="00B91A63">
        <w:rPr>
          <w:rFonts w:asciiTheme="majorHAnsi" w:hAnsiTheme="majorHAnsi" w:cstheme="majorHAnsi"/>
          <w:sz w:val="20"/>
          <w:szCs w:val="20"/>
        </w:rPr>
        <w:t xml:space="preserve">staff member; </w:t>
      </w:r>
    </w:p>
    <w:p w14:paraId="04C349D9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If complaint is not in writing, </w:t>
      </w:r>
      <w:r>
        <w:rPr>
          <w:rFonts w:asciiTheme="majorHAnsi" w:hAnsiTheme="majorHAnsi" w:cstheme="majorHAnsi"/>
          <w:sz w:val="20"/>
          <w:szCs w:val="20"/>
        </w:rPr>
        <w:t xml:space="preserve">the Company staff member is </w:t>
      </w:r>
      <w:r w:rsidRPr="00B91A63">
        <w:rPr>
          <w:rFonts w:asciiTheme="majorHAnsi" w:hAnsiTheme="majorHAnsi" w:cstheme="majorHAnsi"/>
          <w:sz w:val="20"/>
          <w:szCs w:val="20"/>
        </w:rPr>
        <w:t xml:space="preserve">to request that the complaint be in writing and to be submitted along with the necessary supporting documentation; </w:t>
      </w:r>
    </w:p>
    <w:p w14:paraId="52F4B8A9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Complaint received by staff member and handed to </w:t>
      </w:r>
      <w:r w:rsidRPr="00E26612">
        <w:rPr>
          <w:rFonts w:asciiTheme="majorHAnsi" w:hAnsiTheme="majorHAnsi" w:cstheme="majorHAnsi"/>
          <w:sz w:val="20"/>
          <w:szCs w:val="20"/>
        </w:rPr>
        <w:t>Information Officer</w:t>
      </w:r>
      <w:r w:rsidRPr="00B91A63">
        <w:rPr>
          <w:rFonts w:asciiTheme="majorHAnsi" w:hAnsiTheme="majorHAnsi" w:cstheme="majorHAnsi"/>
          <w:sz w:val="20"/>
          <w:szCs w:val="20"/>
        </w:rPr>
        <w:t>. Complaint is validated and logged on Complaints Register;</w:t>
      </w:r>
    </w:p>
    <w:p w14:paraId="115D1964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Information Officer acknowledges receipt of complaint in writing within 3 business days; </w:t>
      </w:r>
    </w:p>
    <w:p w14:paraId="3BA3DDAE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Complaint is assigned to a staff member by Information Officer and investigated; </w:t>
      </w:r>
    </w:p>
    <w:p w14:paraId="187C3993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Resolve the complaint immediately or take the necessary action and advise the complainant of steps taken and expected date of resolution; </w:t>
      </w:r>
    </w:p>
    <w:p w14:paraId="70B97C50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Information Officer updates the Complaints Register with all developments/activities; </w:t>
      </w:r>
    </w:p>
    <w:p w14:paraId="16E306F2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>Information Officer to inform</w:t>
      </w:r>
      <w:r>
        <w:rPr>
          <w:rFonts w:asciiTheme="majorHAnsi" w:hAnsiTheme="majorHAnsi" w:cstheme="majorHAnsi"/>
          <w:sz w:val="20"/>
          <w:szCs w:val="20"/>
        </w:rPr>
        <w:t xml:space="preserve"> the</w:t>
      </w:r>
      <w:r w:rsidRPr="00B91A63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>omplainant in writing of the resolution of the complaint and the outcome;</w:t>
      </w:r>
    </w:p>
    <w:p w14:paraId="1E8E2B63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Information Officer to notify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if complaint is not resolved within 3 weeks - advise </w:t>
      </w:r>
      <w:r>
        <w:rPr>
          <w:rFonts w:asciiTheme="majorHAnsi" w:hAnsiTheme="majorHAnsi" w:cstheme="majorHAnsi"/>
          <w:sz w:val="20"/>
          <w:szCs w:val="20"/>
        </w:rPr>
        <w:t>the 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on status of the complaint; </w:t>
      </w:r>
    </w:p>
    <w:p w14:paraId="4F2334A7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 Information Officer to notify the 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of final outcome. This must be within 6 weeks of receiving the complaint. </w:t>
      </w:r>
    </w:p>
    <w:p w14:paraId="14A7D3A5" w14:textId="77777777" w:rsidR="00DC0114" w:rsidRPr="00B91A63" w:rsidRDefault="00DC0114" w:rsidP="00DC0114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91A63">
        <w:rPr>
          <w:rFonts w:asciiTheme="majorHAnsi" w:hAnsiTheme="majorHAnsi" w:cstheme="majorHAnsi"/>
          <w:sz w:val="20"/>
          <w:szCs w:val="20"/>
        </w:rPr>
        <w:t xml:space="preserve"> Information Officer to advise</w:t>
      </w:r>
      <w:r>
        <w:rPr>
          <w:rFonts w:asciiTheme="majorHAnsi" w:hAnsiTheme="majorHAnsi" w:cstheme="majorHAnsi"/>
          <w:sz w:val="20"/>
          <w:szCs w:val="20"/>
        </w:rPr>
        <w:t xml:space="preserve"> the C</w:t>
      </w:r>
      <w:r w:rsidRPr="00B91A63">
        <w:rPr>
          <w:rFonts w:asciiTheme="majorHAnsi" w:hAnsiTheme="majorHAnsi" w:cstheme="majorHAnsi"/>
          <w:sz w:val="20"/>
          <w:szCs w:val="20"/>
        </w:rPr>
        <w:t xml:space="preserve">omplainant of other options if complaint could not be resolved e.g. Information Regulator. </w:t>
      </w:r>
    </w:p>
    <w:p w14:paraId="056F26C7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42F5EDC" w14:textId="77777777" w:rsidR="00DC0114" w:rsidRPr="00C50D7C" w:rsidRDefault="00DC0114" w:rsidP="00DC011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C50D7C">
        <w:rPr>
          <w:rFonts w:asciiTheme="majorHAnsi" w:hAnsiTheme="majorHAnsi" w:cstheme="majorHAnsi"/>
          <w:b/>
          <w:bCs/>
          <w:sz w:val="20"/>
          <w:szCs w:val="20"/>
        </w:rPr>
        <w:t xml:space="preserve">Information Regulator </w:t>
      </w:r>
    </w:p>
    <w:p w14:paraId="7856EB18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3985FB5E" w14:textId="77777777" w:rsidR="00DC0114" w:rsidRPr="00E26612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color w:val="000000"/>
          <w:sz w:val="20"/>
          <w:szCs w:val="20"/>
        </w:rPr>
        <w:t xml:space="preserve">The Information Regulator's contact details are as follows: </w:t>
      </w:r>
    </w:p>
    <w:p w14:paraId="64092488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JD House, </w:t>
      </w:r>
    </w:p>
    <w:p w14:paraId="4DCB5803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27 Stiemens Street</w:t>
      </w:r>
    </w:p>
    <w:p w14:paraId="0CFC466E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Braamfontein</w:t>
      </w:r>
    </w:p>
    <w:p w14:paraId="4526AD8C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Johannesburg</w:t>
      </w:r>
    </w:p>
    <w:p w14:paraId="77DCA78D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2001</w:t>
      </w:r>
    </w:p>
    <w:p w14:paraId="6714C84D" w14:textId="77777777" w:rsidR="00DC0114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color w:val="0000FF"/>
          <w:sz w:val="20"/>
          <w:szCs w:val="20"/>
          <w:u w:val="single"/>
        </w:rPr>
      </w:pPr>
    </w:p>
    <w:p w14:paraId="23552A62" w14:textId="77777777" w:rsidR="00DC0114" w:rsidRPr="00E26612" w:rsidRDefault="00DC0114" w:rsidP="00DC0114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26612">
        <w:rPr>
          <w:rFonts w:asciiTheme="majorHAnsi" w:hAnsiTheme="majorHAnsi" w:cstheme="majorHAnsi"/>
          <w:color w:val="0000FF"/>
          <w:sz w:val="20"/>
          <w:szCs w:val="20"/>
          <w:u w:val="single"/>
        </w:rPr>
        <w:t>inforeg@justice.gov.za</w:t>
      </w:r>
      <w:r w:rsidRPr="00E26612">
        <w:rPr>
          <w:rFonts w:asciiTheme="majorHAnsi" w:hAnsiTheme="majorHAnsi" w:cstheme="majorHAnsi"/>
          <w:color w:val="0000FF"/>
          <w:sz w:val="20"/>
          <w:szCs w:val="20"/>
        </w:rPr>
        <w:t xml:space="preserve"> </w:t>
      </w:r>
    </w:p>
    <w:p w14:paraId="1547C779" w14:textId="77777777" w:rsidR="00DC0114" w:rsidRDefault="00DC0114" w:rsidP="00DC0114">
      <w:pPr>
        <w:spacing w:after="0" w:line="276" w:lineRule="auto"/>
        <w:jc w:val="both"/>
        <w:rPr>
          <w:rFonts w:asciiTheme="majorHAnsi" w:hAnsiTheme="majorHAnsi" w:cstheme="majorHAnsi"/>
          <w:szCs w:val="20"/>
        </w:rPr>
      </w:pPr>
    </w:p>
    <w:p w14:paraId="7DBC2693" w14:textId="77777777" w:rsidR="00DC0114" w:rsidRDefault="00DC0114" w:rsidP="00DC0114">
      <w:pPr>
        <w:spacing w:after="0" w:line="276" w:lineRule="auto"/>
        <w:jc w:val="both"/>
      </w:pPr>
    </w:p>
    <w:p w14:paraId="48751622" w14:textId="77777777" w:rsidR="00D827C8" w:rsidRDefault="00D827C8" w:rsidP="00D827C8"/>
    <w:sectPr w:rsidR="00D827C8" w:rsidSect="00D70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C270" w14:textId="77777777" w:rsidR="00B22EBC" w:rsidRDefault="00B22EBC" w:rsidP="00D70BCE">
      <w:r>
        <w:separator/>
      </w:r>
    </w:p>
  </w:endnote>
  <w:endnote w:type="continuationSeparator" w:id="0">
    <w:p w14:paraId="349F3AAC" w14:textId="77777777" w:rsidR="00B22EBC" w:rsidRDefault="00B22EBC" w:rsidP="00D7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7806" w14:textId="77777777" w:rsidR="003E339C" w:rsidRDefault="003E3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C2D20" w14:textId="77777777" w:rsidR="003E339C" w:rsidRDefault="003E33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801A7" w14:textId="77777777" w:rsidR="003E339C" w:rsidRDefault="003E3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95924" w14:textId="77777777" w:rsidR="00B22EBC" w:rsidRDefault="00B22EBC" w:rsidP="00D70BCE">
      <w:r>
        <w:separator/>
      </w:r>
    </w:p>
  </w:footnote>
  <w:footnote w:type="continuationSeparator" w:id="0">
    <w:p w14:paraId="128EE61B" w14:textId="77777777" w:rsidR="00B22EBC" w:rsidRDefault="00B22EBC" w:rsidP="00D7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2D2FF" w14:textId="77777777" w:rsidR="003E339C" w:rsidRDefault="003E3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8AC61" w14:textId="77777777" w:rsidR="00D70BCE" w:rsidRDefault="00370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754ECC" wp14:editId="5B5CA76C">
          <wp:simplePos x="0" y="0"/>
          <wp:positionH relativeFrom="column">
            <wp:posOffset>-914400</wp:posOffset>
          </wp:positionH>
          <wp:positionV relativeFrom="paragraph">
            <wp:posOffset>-534617</wp:posOffset>
          </wp:positionV>
          <wp:extent cx="7608709" cy="10766916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_ICON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308" cy="1079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3359" w14:textId="7CEAF6C6" w:rsidR="00D70BCE" w:rsidRDefault="00D70BC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FC6BC" wp14:editId="37447214">
          <wp:simplePos x="0" y="0"/>
          <wp:positionH relativeFrom="column">
            <wp:posOffset>-914271</wp:posOffset>
          </wp:positionH>
          <wp:positionV relativeFrom="paragraph">
            <wp:posOffset>-428950</wp:posOffset>
          </wp:positionV>
          <wp:extent cx="7559870" cy="10698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70" cy="106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85194"/>
    <w:multiLevelType w:val="multilevel"/>
    <w:tmpl w:val="E16EF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D52F6E"/>
    <w:multiLevelType w:val="hybridMultilevel"/>
    <w:tmpl w:val="8500DA5C"/>
    <w:lvl w:ilvl="0" w:tplc="0F00DF22">
      <w:start w:val="1"/>
      <w:numFmt w:val="decimal"/>
      <w:lvlText w:val="%1."/>
      <w:lvlJc w:val="left"/>
      <w:pPr>
        <w:ind w:left="1440" w:hanging="6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2820"/>
    <w:multiLevelType w:val="multilevel"/>
    <w:tmpl w:val="37F2B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C0"/>
    <w:rsid w:val="00007620"/>
    <w:rsid w:val="00020811"/>
    <w:rsid w:val="000D4EF9"/>
    <w:rsid w:val="000F0EF1"/>
    <w:rsid w:val="0011190A"/>
    <w:rsid w:val="0013392E"/>
    <w:rsid w:val="001744B1"/>
    <w:rsid w:val="001B6A1F"/>
    <w:rsid w:val="001D6C16"/>
    <w:rsid w:val="002A2B5C"/>
    <w:rsid w:val="002C30AF"/>
    <w:rsid w:val="002C4DBF"/>
    <w:rsid w:val="003043E5"/>
    <w:rsid w:val="00342A7F"/>
    <w:rsid w:val="0037066B"/>
    <w:rsid w:val="00381840"/>
    <w:rsid w:val="003E339C"/>
    <w:rsid w:val="003F73DF"/>
    <w:rsid w:val="00471723"/>
    <w:rsid w:val="0049033A"/>
    <w:rsid w:val="004B40FF"/>
    <w:rsid w:val="004D2A92"/>
    <w:rsid w:val="00506E09"/>
    <w:rsid w:val="0052390A"/>
    <w:rsid w:val="00593628"/>
    <w:rsid w:val="006E4332"/>
    <w:rsid w:val="00747565"/>
    <w:rsid w:val="007C0E15"/>
    <w:rsid w:val="007C596D"/>
    <w:rsid w:val="00854655"/>
    <w:rsid w:val="00A36588"/>
    <w:rsid w:val="00AD67EE"/>
    <w:rsid w:val="00B22EBC"/>
    <w:rsid w:val="00BC6660"/>
    <w:rsid w:val="00BF2D5E"/>
    <w:rsid w:val="00BF6349"/>
    <w:rsid w:val="00C6207E"/>
    <w:rsid w:val="00CD5138"/>
    <w:rsid w:val="00CE7BC0"/>
    <w:rsid w:val="00D70BCE"/>
    <w:rsid w:val="00D827C8"/>
    <w:rsid w:val="00D84F3D"/>
    <w:rsid w:val="00DC0114"/>
    <w:rsid w:val="00E412D0"/>
    <w:rsid w:val="00EE642F"/>
    <w:rsid w:val="00F10B3C"/>
    <w:rsid w:val="00F15450"/>
    <w:rsid w:val="00F259EC"/>
    <w:rsid w:val="00F25B26"/>
    <w:rsid w:val="00F854E2"/>
    <w:rsid w:val="00FD318C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8D9A76"/>
  <w15:chartTrackingRefBased/>
  <w15:docId w15:val="{81219804-59E0-F445-8BE2-E3584B47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14"/>
    <w:pPr>
      <w:spacing w:after="200"/>
    </w:pPr>
    <w:rPr>
      <w:rFonts w:ascii="Arial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CE"/>
  </w:style>
  <w:style w:type="paragraph" w:styleId="Footer">
    <w:name w:val="footer"/>
    <w:basedOn w:val="Normal"/>
    <w:link w:val="FooterChar"/>
    <w:uiPriority w:val="99"/>
    <w:unhideWhenUsed/>
    <w:rsid w:val="00D70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CE"/>
  </w:style>
  <w:style w:type="paragraph" w:styleId="BodyText">
    <w:name w:val="Body Text"/>
    <w:basedOn w:val="Normal"/>
    <w:link w:val="BodyTextChar"/>
    <w:uiPriority w:val="1"/>
    <w:qFormat/>
    <w:rsid w:val="00747565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47565"/>
    <w:rPr>
      <w:rFonts w:ascii="Calibri" w:eastAsia="Calibri" w:hAnsi="Calibri" w:cs="Calibri"/>
      <w:sz w:val="16"/>
      <w:szCs w:val="16"/>
      <w:lang w:val="en-US"/>
    </w:rPr>
  </w:style>
  <w:style w:type="paragraph" w:styleId="ListParagraph">
    <w:name w:val="List Paragraph"/>
    <w:basedOn w:val="Normal"/>
    <w:qFormat/>
    <w:rsid w:val="00747565"/>
    <w:pPr>
      <w:widowControl w:val="0"/>
      <w:autoSpaceDE w:val="0"/>
      <w:autoSpaceDN w:val="0"/>
      <w:ind w:left="1382" w:hanging="1157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4756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7565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47565"/>
    <w:pPr>
      <w:spacing w:after="200" w:line="288" w:lineRule="auto"/>
      <w:jc w:val="both"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qFormat/>
    <w:rsid w:val="00DC0114"/>
    <w:pPr>
      <w:keepNext/>
      <w:keepLines/>
      <w:spacing w:before="480" w:after="240"/>
      <w:jc w:val="center"/>
    </w:pPr>
    <w:rPr>
      <w:rFonts w:eastAsiaTheme="majorEastAsia" w:cstheme="majorBid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C0114"/>
    <w:rPr>
      <w:rFonts w:ascii="Arial" w:eastAsiaTheme="majorEastAsia" w:hAnsi="Arial" w:cstheme="majorBidi"/>
      <w:b/>
      <w:bCs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DC011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01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41E36-37C8-A945-B37A-204E146B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Tristan Bryson</cp:lastModifiedBy>
  <cp:revision>2</cp:revision>
  <dcterms:created xsi:type="dcterms:W3CDTF">2021-06-30T07:52:00Z</dcterms:created>
  <dcterms:modified xsi:type="dcterms:W3CDTF">2021-06-30T07:52:00Z</dcterms:modified>
</cp:coreProperties>
</file>