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FEE8" w14:textId="77777777" w:rsidR="006474C6" w:rsidRPr="003D22B2" w:rsidRDefault="006474C6" w:rsidP="00677517">
      <w:pPr>
        <w:pStyle w:val="Titel"/>
        <w:spacing w:before="120" w:after="120"/>
        <w:jc w:val="both"/>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677517">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677517">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677517">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Pr="000C5DE9" w:rsidRDefault="00D50EBA" w:rsidP="00677517">
            <w:pPr>
              <w:widowControl w:val="0"/>
              <w:tabs>
                <w:tab w:val="left" w:pos="500"/>
                <w:tab w:val="left" w:pos="1254"/>
              </w:tabs>
              <w:autoSpaceDE w:val="0"/>
              <w:autoSpaceDN w:val="0"/>
              <w:adjustRightInd w:val="0"/>
              <w:spacing w:before="60" w:after="60"/>
              <w:jc w:val="both"/>
              <w:rPr>
                <w:rFonts w:cs="Arial"/>
                <w:szCs w:val="20"/>
              </w:rPr>
            </w:pPr>
            <w:r w:rsidRPr="000C5DE9">
              <w:rPr>
                <w:rFonts w:cs="Arial"/>
                <w:szCs w:val="20"/>
              </w:rPr>
              <w:fldChar w:fldCharType="begin">
                <w:ffData>
                  <w:name w:val="Text34"/>
                  <w:enabled/>
                  <w:calcOnExit w:val="0"/>
                  <w:textInput/>
                </w:ffData>
              </w:fldChar>
            </w:r>
            <w:bookmarkStart w:id="0" w:name="Text34"/>
            <w:r w:rsidRPr="000C5DE9">
              <w:rPr>
                <w:rFonts w:cs="Arial"/>
                <w:szCs w:val="20"/>
              </w:rPr>
              <w:instrText xml:space="preserve"> FORMTEXT </w:instrText>
            </w:r>
            <w:r w:rsidRPr="000C5DE9">
              <w:rPr>
                <w:rFonts w:cs="Arial"/>
                <w:szCs w:val="20"/>
              </w:rPr>
            </w:r>
            <w:r w:rsidRPr="000C5DE9">
              <w:rPr>
                <w:rFonts w:cs="Arial"/>
                <w:szCs w:val="20"/>
              </w:rPr>
              <w:fldChar w:fldCharType="separate"/>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szCs w:val="20"/>
              </w:rPr>
              <w:fldChar w:fldCharType="end"/>
            </w:r>
            <w:bookmarkEnd w:id="0"/>
          </w:p>
          <w:p w14:paraId="56CB60BF" w14:textId="77777777" w:rsidR="00D50EBA" w:rsidRPr="000C5DE9" w:rsidRDefault="00D50EBA" w:rsidP="00677517">
            <w:pPr>
              <w:widowControl w:val="0"/>
              <w:tabs>
                <w:tab w:val="left" w:pos="500"/>
                <w:tab w:val="left" w:pos="1254"/>
              </w:tabs>
              <w:autoSpaceDE w:val="0"/>
              <w:autoSpaceDN w:val="0"/>
              <w:adjustRightInd w:val="0"/>
              <w:spacing w:before="60" w:after="60"/>
              <w:jc w:val="both"/>
              <w:rPr>
                <w:rFonts w:cs="Arial"/>
                <w:szCs w:val="20"/>
              </w:rPr>
            </w:pPr>
            <w:r w:rsidRPr="000C5DE9">
              <w:rPr>
                <w:rFonts w:cs="Arial"/>
                <w:szCs w:val="20"/>
              </w:rPr>
              <w:fldChar w:fldCharType="begin">
                <w:ffData>
                  <w:name w:val="Text34"/>
                  <w:enabled/>
                  <w:calcOnExit w:val="0"/>
                  <w:textInput/>
                </w:ffData>
              </w:fldChar>
            </w:r>
            <w:r w:rsidRPr="000C5DE9">
              <w:rPr>
                <w:rFonts w:cs="Arial"/>
                <w:szCs w:val="20"/>
              </w:rPr>
              <w:instrText xml:space="preserve"> FORMTEXT </w:instrText>
            </w:r>
            <w:r w:rsidRPr="000C5DE9">
              <w:rPr>
                <w:rFonts w:cs="Arial"/>
                <w:szCs w:val="20"/>
              </w:rPr>
            </w:r>
            <w:r w:rsidRPr="000C5DE9">
              <w:rPr>
                <w:rFonts w:cs="Arial"/>
                <w:szCs w:val="20"/>
              </w:rPr>
              <w:fldChar w:fldCharType="separate"/>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szCs w:val="20"/>
              </w:rPr>
              <w:fldChar w:fldCharType="end"/>
            </w:r>
          </w:p>
          <w:p w14:paraId="534B7267" w14:textId="77777777" w:rsidR="00D50EBA" w:rsidRDefault="00D50EBA" w:rsidP="00677517">
            <w:pPr>
              <w:widowControl w:val="0"/>
              <w:tabs>
                <w:tab w:val="left" w:pos="500"/>
                <w:tab w:val="left" w:pos="1254"/>
              </w:tabs>
              <w:autoSpaceDE w:val="0"/>
              <w:autoSpaceDN w:val="0"/>
              <w:adjustRightInd w:val="0"/>
              <w:spacing w:before="60" w:after="60"/>
              <w:jc w:val="both"/>
              <w:rPr>
                <w:rFonts w:cs="Arial"/>
                <w:sz w:val="22"/>
              </w:rPr>
            </w:pPr>
            <w:r w:rsidRPr="000C5DE9">
              <w:rPr>
                <w:rFonts w:cs="Arial"/>
                <w:szCs w:val="20"/>
              </w:rPr>
              <w:fldChar w:fldCharType="begin">
                <w:ffData>
                  <w:name w:val="Text34"/>
                  <w:enabled/>
                  <w:calcOnExit w:val="0"/>
                  <w:textInput/>
                </w:ffData>
              </w:fldChar>
            </w:r>
            <w:r w:rsidRPr="000C5DE9">
              <w:rPr>
                <w:rFonts w:cs="Arial"/>
                <w:szCs w:val="20"/>
              </w:rPr>
              <w:instrText xml:space="preserve"> FORMTEXT </w:instrText>
            </w:r>
            <w:r w:rsidRPr="000C5DE9">
              <w:rPr>
                <w:rFonts w:cs="Arial"/>
                <w:szCs w:val="20"/>
              </w:rPr>
            </w:r>
            <w:r w:rsidRPr="000C5DE9">
              <w:rPr>
                <w:rFonts w:cs="Arial"/>
                <w:szCs w:val="20"/>
              </w:rPr>
              <w:fldChar w:fldCharType="separate"/>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noProof/>
                <w:szCs w:val="20"/>
              </w:rPr>
              <w:t> </w:t>
            </w:r>
            <w:r w:rsidRPr="000C5DE9">
              <w:rPr>
                <w:rFonts w:cs="Arial"/>
                <w:szCs w:val="20"/>
              </w:rPr>
              <w:fldChar w:fldCharType="end"/>
            </w:r>
          </w:p>
        </w:tc>
        <w:tc>
          <w:tcPr>
            <w:tcW w:w="540" w:type="dxa"/>
            <w:tcBorders>
              <w:left w:val="nil"/>
            </w:tcBorders>
          </w:tcPr>
          <w:p w14:paraId="1070AC4B" w14:textId="77777777" w:rsidR="006474C6" w:rsidRDefault="006474C6" w:rsidP="00677517">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0C5DE9" w:rsidRDefault="00277260" w:rsidP="00677517">
            <w:pPr>
              <w:spacing w:before="60" w:after="60"/>
              <w:jc w:val="both"/>
              <w:rPr>
                <w:rFonts w:cs="Arial"/>
                <w:szCs w:val="20"/>
              </w:rPr>
            </w:pPr>
            <w:r w:rsidRPr="000C5DE9">
              <w:rPr>
                <w:rFonts w:cs="Arial"/>
                <w:szCs w:val="20"/>
              </w:rPr>
              <w:t>softgarden e-</w:t>
            </w:r>
            <w:proofErr w:type="spellStart"/>
            <w:r w:rsidRPr="000C5DE9">
              <w:rPr>
                <w:rFonts w:cs="Arial"/>
                <w:szCs w:val="20"/>
              </w:rPr>
              <w:t>recruiting</w:t>
            </w:r>
            <w:proofErr w:type="spellEnd"/>
            <w:r w:rsidRPr="000C5DE9">
              <w:rPr>
                <w:rFonts w:cs="Arial"/>
                <w:szCs w:val="20"/>
              </w:rPr>
              <w:t xml:space="preserve"> GmbH</w:t>
            </w:r>
          </w:p>
          <w:p w14:paraId="59192908" w14:textId="56619A54" w:rsidR="006474C6" w:rsidRPr="000C5DE9" w:rsidRDefault="008C47DB" w:rsidP="00677517">
            <w:pPr>
              <w:spacing w:before="60" w:after="60"/>
              <w:jc w:val="both"/>
              <w:rPr>
                <w:rFonts w:cs="Arial"/>
                <w:szCs w:val="20"/>
              </w:rPr>
            </w:pPr>
            <w:proofErr w:type="spellStart"/>
            <w:r w:rsidRPr="000C5DE9">
              <w:rPr>
                <w:rFonts w:cs="Arial"/>
                <w:szCs w:val="20"/>
              </w:rPr>
              <w:t>Tauentzienstraße</w:t>
            </w:r>
            <w:proofErr w:type="spellEnd"/>
            <w:r w:rsidRPr="000C5DE9">
              <w:rPr>
                <w:rFonts w:cs="Arial"/>
                <w:szCs w:val="20"/>
              </w:rPr>
              <w:t xml:space="preserve"> 14</w:t>
            </w:r>
          </w:p>
          <w:p w14:paraId="3BC02BEB" w14:textId="56B10321" w:rsidR="008C47DB" w:rsidRPr="000C5DE9" w:rsidRDefault="008C47DB" w:rsidP="00677517">
            <w:pPr>
              <w:spacing w:before="60" w:after="60"/>
              <w:jc w:val="both"/>
              <w:rPr>
                <w:rFonts w:cs="Arial"/>
                <w:szCs w:val="20"/>
              </w:rPr>
            </w:pPr>
            <w:r w:rsidRPr="000C5DE9">
              <w:rPr>
                <w:rFonts w:cs="Arial"/>
                <w:szCs w:val="20"/>
              </w:rPr>
              <w:t>10789 Berlin</w:t>
            </w:r>
          </w:p>
          <w:p w14:paraId="3547F857" w14:textId="77777777" w:rsidR="006474C6" w:rsidRPr="00D50EBA" w:rsidRDefault="006474C6" w:rsidP="00677517">
            <w:pPr>
              <w:spacing w:before="60" w:after="60"/>
              <w:jc w:val="both"/>
              <w:rPr>
                <w:sz w:val="22"/>
              </w:rPr>
            </w:pPr>
          </w:p>
        </w:tc>
      </w:tr>
      <w:tr w:rsidR="006474C6" w14:paraId="387806AC" w14:textId="77777777" w:rsidTr="004B32D1">
        <w:trPr>
          <w:cantSplit/>
        </w:trPr>
        <w:tc>
          <w:tcPr>
            <w:tcW w:w="3960" w:type="dxa"/>
          </w:tcPr>
          <w:p w14:paraId="4980C537" w14:textId="4EDA2876" w:rsidR="006474C6" w:rsidRDefault="006474C6" w:rsidP="00677517">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rsidP="00677517">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677517">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677517">
      <w:pPr>
        <w:jc w:val="both"/>
      </w:pPr>
    </w:p>
    <w:p w14:paraId="6DD24B7C" w14:textId="77777777" w:rsidR="00416DC5" w:rsidRDefault="00416DC5" w:rsidP="00677517">
      <w:pPr>
        <w:jc w:val="both"/>
      </w:pPr>
    </w:p>
    <w:p w14:paraId="1E9ACE33" w14:textId="77777777" w:rsidR="006474C6" w:rsidRDefault="006474C6" w:rsidP="00677517">
      <w:pPr>
        <w:jc w:val="both"/>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677517">
      <w:pPr>
        <w:jc w:val="both"/>
        <w:rPr>
          <w:szCs w:val="20"/>
        </w:rPr>
      </w:pPr>
    </w:p>
    <w:p w14:paraId="7D6FC803" w14:textId="77777777" w:rsidR="00A53166" w:rsidRDefault="00A53166" w:rsidP="00677517">
      <w:pPr>
        <w:jc w:val="both"/>
        <w:rPr>
          <w:szCs w:val="20"/>
        </w:rPr>
      </w:pPr>
    </w:p>
    <w:p w14:paraId="44590484" w14:textId="10225A39" w:rsidR="00A53166" w:rsidRPr="000C5DE9" w:rsidRDefault="000C5DE9" w:rsidP="00677517">
      <w:pPr>
        <w:pStyle w:val="berschrift1"/>
        <w:spacing w:before="240"/>
        <w:ind w:left="567" w:hanging="567"/>
        <w:jc w:val="both"/>
      </w:pPr>
      <w:r w:rsidRPr="000C5DE9">
        <w:t>Allgemeines</w:t>
      </w:r>
    </w:p>
    <w:p w14:paraId="2A18B45C" w14:textId="77777777" w:rsidR="000C5DE9" w:rsidRPr="00AF0E26" w:rsidRDefault="000C5DE9" w:rsidP="00AF0E26">
      <w:pPr>
        <w:numPr>
          <w:ilvl w:val="0"/>
          <w:numId w:val="10"/>
        </w:numPr>
        <w:spacing w:after="120" w:line="240" w:lineRule="auto"/>
        <w:jc w:val="both"/>
        <w:rPr>
          <w:szCs w:val="20"/>
        </w:rPr>
      </w:pPr>
      <w:r w:rsidRPr="00AF0E26">
        <w:rPr>
          <w:szCs w:val="20"/>
        </w:rPr>
        <w:t>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14:paraId="2FE83971" w14:textId="5AC28D18" w:rsidR="00160B4C" w:rsidRPr="00AF0E26" w:rsidRDefault="00160B4C" w:rsidP="00AF0E26">
      <w:pPr>
        <w:numPr>
          <w:ilvl w:val="0"/>
          <w:numId w:val="10"/>
        </w:numPr>
        <w:spacing w:after="120" w:line="240" w:lineRule="auto"/>
        <w:jc w:val="both"/>
        <w:rPr>
          <w:szCs w:val="20"/>
        </w:rPr>
      </w:pPr>
      <w:r w:rsidRPr="00AF0E26">
        <w:rPr>
          <w:szCs w:val="20"/>
        </w:rPr>
        <w:t>Bei etwaigen Widersprüchen gehen die Regelungen dieses Vertrages mit all seinen Bestandteilen den Regelungen des zugehörigen Hauptvertrages vor.</w:t>
      </w:r>
    </w:p>
    <w:p w14:paraId="10395D6C" w14:textId="7AB5EFBF" w:rsidR="000C5DE9" w:rsidRPr="00AF0E26" w:rsidRDefault="000C5DE9" w:rsidP="00AF0E26">
      <w:pPr>
        <w:numPr>
          <w:ilvl w:val="0"/>
          <w:numId w:val="10"/>
        </w:numPr>
        <w:spacing w:after="120" w:line="240" w:lineRule="auto"/>
        <w:jc w:val="both"/>
        <w:rPr>
          <w:szCs w:val="20"/>
        </w:rPr>
      </w:pPr>
      <w:r w:rsidRPr="00AF0E26">
        <w:rPr>
          <w:szCs w:val="20"/>
        </w:rPr>
        <w:t>Sofern in diesem Vertrag der Begriff „Datenverarbeitung“ oder „Verarbeitung“ (von Daten) benutzt wird, wird die Definition der „Verarbeitung“ i.S.d. Art. 4 Nr. 2 DSGVO zugrunde gelegt.</w:t>
      </w:r>
    </w:p>
    <w:p w14:paraId="432AAD03" w14:textId="18B85A55" w:rsidR="000C5DE9" w:rsidRPr="00AF0E26" w:rsidRDefault="000C5DE9" w:rsidP="003E7032">
      <w:pPr>
        <w:numPr>
          <w:ilvl w:val="0"/>
          <w:numId w:val="10"/>
        </w:numPr>
        <w:spacing w:after="120" w:line="240" w:lineRule="auto"/>
        <w:jc w:val="both"/>
        <w:rPr>
          <w:szCs w:val="20"/>
        </w:rPr>
      </w:pPr>
      <w:r w:rsidRPr="00AF0E26">
        <w:rPr>
          <w:szCs w:val="20"/>
        </w:rPr>
        <w:t>Der Auftragnehmer verpflichtet sich, die Datenverarbeitung im Auftrag nur in Mitgliedsstaaten der Europäischen Union (EU) oder des Europäischen Wirtschaftsraums (EWR) durchzuführen.</w:t>
      </w:r>
      <w:r w:rsidR="003E7032">
        <w:rPr>
          <w:szCs w:val="20"/>
        </w:rPr>
        <w:t xml:space="preserve"> </w:t>
      </w:r>
      <w:r w:rsidR="003E7032" w:rsidRPr="003E7032">
        <w:rPr>
          <w:szCs w:val="20"/>
        </w:rPr>
        <w:t>Jede Verlagerung</w:t>
      </w:r>
      <w:r w:rsidR="003E7032">
        <w:rPr>
          <w:szCs w:val="20"/>
        </w:rPr>
        <w:t xml:space="preserve"> </w:t>
      </w:r>
      <w:r w:rsidR="003E7032" w:rsidRPr="003E7032">
        <w:rPr>
          <w:szCs w:val="20"/>
        </w:rPr>
        <w:t>der</w:t>
      </w:r>
      <w:r w:rsidR="003E7032">
        <w:rPr>
          <w:szCs w:val="20"/>
        </w:rPr>
        <w:t xml:space="preserve"> </w:t>
      </w:r>
      <w:r w:rsidR="003E7032" w:rsidRPr="003E7032">
        <w:rPr>
          <w:szCs w:val="20"/>
        </w:rPr>
        <w:t>Verarbeitung</w:t>
      </w:r>
      <w:r w:rsidR="003E7032">
        <w:rPr>
          <w:szCs w:val="20"/>
        </w:rPr>
        <w:t xml:space="preserve"> </w:t>
      </w:r>
      <w:r w:rsidR="003E7032" w:rsidRPr="003E7032">
        <w:rPr>
          <w:szCs w:val="20"/>
        </w:rPr>
        <w:t>in</w:t>
      </w:r>
      <w:r w:rsidR="003E7032">
        <w:rPr>
          <w:szCs w:val="20"/>
        </w:rPr>
        <w:t xml:space="preserve"> </w:t>
      </w:r>
      <w:r w:rsidR="003E7032" w:rsidRPr="003E7032">
        <w:rPr>
          <w:szCs w:val="20"/>
        </w:rPr>
        <w:t>ein</w:t>
      </w:r>
      <w:r w:rsidR="003E7032">
        <w:rPr>
          <w:szCs w:val="20"/>
        </w:rPr>
        <w:t xml:space="preserve"> </w:t>
      </w:r>
      <w:r w:rsidR="003E7032" w:rsidRPr="003E7032">
        <w:rPr>
          <w:szCs w:val="20"/>
        </w:rPr>
        <w:t>Drittland</w:t>
      </w:r>
      <w:r w:rsidR="003E7032">
        <w:rPr>
          <w:szCs w:val="20"/>
        </w:rPr>
        <w:t xml:space="preserve"> </w:t>
      </w:r>
      <w:r w:rsidR="003E7032" w:rsidRPr="003E7032">
        <w:rPr>
          <w:szCs w:val="20"/>
        </w:rPr>
        <w:t>darf nur erfolgen,</w:t>
      </w:r>
      <w:r w:rsidR="003E7032">
        <w:rPr>
          <w:szCs w:val="20"/>
        </w:rPr>
        <w:t xml:space="preserve"> </w:t>
      </w:r>
      <w:r w:rsidR="003E7032" w:rsidRPr="003E7032">
        <w:rPr>
          <w:szCs w:val="20"/>
        </w:rPr>
        <w:t>wenn die besonderen Voraussetzungen der Art. 44ff. DSGVO erfüllt sind</w:t>
      </w:r>
      <w:r w:rsidR="003E7032">
        <w:rPr>
          <w:szCs w:val="20"/>
        </w:rPr>
        <w:t>.</w:t>
      </w:r>
    </w:p>
    <w:p w14:paraId="54B84BF4" w14:textId="77777777" w:rsidR="006474C6" w:rsidRPr="00475EAB" w:rsidRDefault="006474C6" w:rsidP="00677517">
      <w:pPr>
        <w:pStyle w:val="berschrift1"/>
        <w:spacing w:before="240"/>
        <w:ind w:left="567" w:hanging="567"/>
        <w:jc w:val="both"/>
      </w:pPr>
      <w:r w:rsidRPr="00475EAB">
        <w:t>Gegenstand des Auftrags</w:t>
      </w:r>
    </w:p>
    <w:p w14:paraId="1CC17E2F" w14:textId="35723B63" w:rsidR="00416DC5" w:rsidRPr="00416DC5" w:rsidRDefault="000E27C1" w:rsidP="005E7B24">
      <w:pPr>
        <w:numPr>
          <w:ilvl w:val="0"/>
          <w:numId w:val="22"/>
        </w:numPr>
        <w:spacing w:after="120" w:line="240" w:lineRule="auto"/>
        <w:jc w:val="both"/>
        <w:rPr>
          <w:szCs w:val="20"/>
        </w:rPr>
      </w:pPr>
      <w:r>
        <w:rPr>
          <w:szCs w:val="20"/>
        </w:rPr>
        <w:t>Gegenstand</w:t>
      </w:r>
      <w:r w:rsidR="000C5DE9" w:rsidRPr="00416DC5">
        <w:rPr>
          <w:szCs w:val="20"/>
        </w:rPr>
        <w:t xml:space="preserve">, Art und Zweck der Verarbeitung, die Art der personenbezogenen Daten und die Kategorien betroffener Personen sind in </w:t>
      </w:r>
      <w:r w:rsidR="000C5DE9" w:rsidRPr="00AF0E26">
        <w:rPr>
          <w:szCs w:val="20"/>
        </w:rPr>
        <w:t>Anlage 1</w:t>
      </w:r>
      <w:r w:rsidR="000C5DE9" w:rsidRPr="00416DC5">
        <w:rPr>
          <w:szCs w:val="20"/>
        </w:rPr>
        <w:t xml:space="preserve"> zu diesem Vertrag festgelegt.</w:t>
      </w:r>
    </w:p>
    <w:p w14:paraId="448D6294" w14:textId="6E8B4BF2" w:rsidR="00762F96" w:rsidRDefault="00416DC5" w:rsidP="005E7B24">
      <w:pPr>
        <w:numPr>
          <w:ilvl w:val="0"/>
          <w:numId w:val="22"/>
        </w:numPr>
        <w:spacing w:after="120" w:line="240" w:lineRule="auto"/>
        <w:jc w:val="both"/>
        <w:rPr>
          <w:szCs w:val="20"/>
        </w:rPr>
      </w:pPr>
      <w:r w:rsidRPr="00416DC5">
        <w:rPr>
          <w:szCs w:val="20"/>
        </w:rPr>
        <w:t>Die Dauer der Verarbeitung im Auftrag richtet sich nach der Laufzeit des Hauptvertrages. Auf diesen wird verwiesen.</w:t>
      </w:r>
    </w:p>
    <w:p w14:paraId="2465D61E" w14:textId="60EF8D2E" w:rsidR="008067B5" w:rsidRPr="008067B5" w:rsidRDefault="008067B5" w:rsidP="00677517">
      <w:pPr>
        <w:pStyle w:val="berschrift1"/>
        <w:spacing w:before="240"/>
        <w:ind w:left="567" w:hanging="567"/>
        <w:jc w:val="both"/>
      </w:pPr>
      <w:r w:rsidRPr="008067B5">
        <w:t>Rechte und Pflichten des Auftraggebers</w:t>
      </w:r>
    </w:p>
    <w:p w14:paraId="7EEC562B" w14:textId="31A0BC9F" w:rsidR="00766F21" w:rsidRDefault="008067B5" w:rsidP="005E7B24">
      <w:pPr>
        <w:numPr>
          <w:ilvl w:val="0"/>
          <w:numId w:val="23"/>
        </w:numPr>
        <w:spacing w:after="120" w:line="240" w:lineRule="auto"/>
        <w:jc w:val="both"/>
        <w:rPr>
          <w:szCs w:val="20"/>
        </w:rPr>
      </w:pPr>
      <w:r w:rsidRPr="008067B5">
        <w:rPr>
          <w:szCs w:val="20"/>
        </w:rPr>
        <w:t>Der Auftraggeber ist Verantwortlicher i.S.d. Art. 4 Nr. 7 DSGVO für die Verarbeitung von Daten im Auftrag durch den Auftragnehmer.</w:t>
      </w:r>
    </w:p>
    <w:p w14:paraId="2A09AB43" w14:textId="52277796" w:rsidR="00766F21" w:rsidRDefault="008067B5" w:rsidP="005E7B24">
      <w:pPr>
        <w:numPr>
          <w:ilvl w:val="0"/>
          <w:numId w:val="23"/>
        </w:numPr>
        <w:spacing w:after="120" w:line="240" w:lineRule="auto"/>
        <w:jc w:val="both"/>
        <w:rPr>
          <w:szCs w:val="20"/>
        </w:rPr>
      </w:pPr>
      <w:r w:rsidRPr="00766F21">
        <w:rPr>
          <w:szCs w:val="20"/>
        </w:rPr>
        <w:t>Der Auftraggeber ist als Verantwortlicher für die Wahrung der Betroffenenrechte verantwortlich.</w:t>
      </w:r>
    </w:p>
    <w:p w14:paraId="0D1E6E47" w14:textId="3FEB4677" w:rsidR="00766F21" w:rsidRPr="007C0249" w:rsidRDefault="008067B5" w:rsidP="005E7B24">
      <w:pPr>
        <w:numPr>
          <w:ilvl w:val="0"/>
          <w:numId w:val="23"/>
        </w:numPr>
        <w:spacing w:after="120" w:line="240" w:lineRule="auto"/>
        <w:jc w:val="both"/>
        <w:rPr>
          <w:szCs w:val="20"/>
        </w:rPr>
      </w:pPr>
      <w:r w:rsidRPr="007C0249">
        <w:rPr>
          <w:szCs w:val="20"/>
        </w:rPr>
        <w:t xml:space="preserve">Der Auftraggeber hat das Recht, ergänzende Weisungen über Art, Umfang und Verfahren der Datenverarbeitung gegenüber dem Auftragnehmer zu erteilen. </w:t>
      </w:r>
      <w:r w:rsidR="007C0249" w:rsidRPr="007C0249">
        <w:rPr>
          <w:szCs w:val="20"/>
        </w:rPr>
        <w:t>Mündliche Weisungen sind unverzüglich in Textform zu bestätigen.</w:t>
      </w:r>
      <w:r w:rsidR="007C0249">
        <w:rPr>
          <w:szCs w:val="20"/>
        </w:rPr>
        <w:t xml:space="preserve"> </w:t>
      </w:r>
      <w:r w:rsidRPr="007C0249">
        <w:rPr>
          <w:szCs w:val="20"/>
        </w:rPr>
        <w:t xml:space="preserve">Der Auftraggeber </w:t>
      </w:r>
      <w:r w:rsidR="00D57B8C">
        <w:rPr>
          <w:szCs w:val="20"/>
        </w:rPr>
        <w:t>wird</w:t>
      </w:r>
      <w:r w:rsidR="00D57B8C" w:rsidRPr="007C0249">
        <w:rPr>
          <w:szCs w:val="20"/>
        </w:rPr>
        <w:t xml:space="preserve"> </w:t>
      </w:r>
      <w:r w:rsidRPr="007C0249">
        <w:rPr>
          <w:szCs w:val="20"/>
        </w:rPr>
        <w:t xml:space="preserve">weisungsberechtigte Personen </w:t>
      </w:r>
      <w:r w:rsidR="00D57B8C">
        <w:rPr>
          <w:szCs w:val="20"/>
        </w:rPr>
        <w:t xml:space="preserve">in der </w:t>
      </w:r>
      <w:r w:rsidR="00D57B8C" w:rsidRPr="000E27C1">
        <w:rPr>
          <w:b/>
          <w:szCs w:val="20"/>
        </w:rPr>
        <w:t>Anlage 1</w:t>
      </w:r>
      <w:r w:rsidR="00D57B8C">
        <w:rPr>
          <w:szCs w:val="20"/>
        </w:rPr>
        <w:t xml:space="preserve"> </w:t>
      </w:r>
      <w:r w:rsidRPr="007C0249">
        <w:rPr>
          <w:szCs w:val="20"/>
        </w:rPr>
        <w:t xml:space="preserve">benennen. </w:t>
      </w:r>
      <w:bookmarkStart w:id="1" w:name="OLE_LINK48"/>
      <w:bookmarkStart w:id="2" w:name="OLE_LINK49"/>
      <w:r w:rsidRPr="007C0249">
        <w:rPr>
          <w:szCs w:val="20"/>
        </w:rPr>
        <w:t>Für den Fall, dass sich die weisungsberechtigten Personen beim Auftraggeber ändern, wird der Auftraggeber dies dem Auftragnehmer in Textform mitteilen.</w:t>
      </w:r>
      <w:bookmarkEnd w:id="1"/>
      <w:bookmarkEnd w:id="2"/>
    </w:p>
    <w:p w14:paraId="3F7EB71A" w14:textId="7703188C" w:rsidR="008067B5" w:rsidRPr="008067B5" w:rsidRDefault="008067B5" w:rsidP="00677517">
      <w:pPr>
        <w:pStyle w:val="berschrift1"/>
        <w:spacing w:before="240"/>
        <w:ind w:left="567" w:hanging="567"/>
        <w:jc w:val="both"/>
      </w:pPr>
      <w:r w:rsidRPr="008067B5">
        <w:t>Allgemeine Pflichten des Auftragnehmers</w:t>
      </w:r>
    </w:p>
    <w:p w14:paraId="7B434538" w14:textId="5BFBCF6A" w:rsidR="008067B5" w:rsidRPr="008067B5" w:rsidRDefault="008067B5" w:rsidP="00677517">
      <w:pPr>
        <w:numPr>
          <w:ilvl w:val="0"/>
          <w:numId w:val="11"/>
        </w:numPr>
        <w:spacing w:after="120" w:line="240" w:lineRule="auto"/>
        <w:jc w:val="both"/>
        <w:rPr>
          <w:szCs w:val="20"/>
        </w:rPr>
      </w:pPr>
      <w:r w:rsidRPr="008067B5">
        <w:rPr>
          <w:szCs w:val="20"/>
        </w:rPr>
        <w:t>Der Auftragnehmer verarbeitet personenbezogene Daten ausschließlich im Rahmen der getroffenen Vereinbarungen und/</w:t>
      </w:r>
      <w:r>
        <w:rPr>
          <w:szCs w:val="20"/>
        </w:rPr>
        <w:t xml:space="preserve"> </w:t>
      </w:r>
      <w:r w:rsidRPr="008067B5">
        <w:rPr>
          <w:szCs w:val="20"/>
        </w:rPr>
        <w:t xml:space="preserve">oder unter Einhaltung der ggf. vom Auftraggeber erteilten ergänzenden Weisungen. Ausgenommen hiervon sind gesetzliche Regelungen, die den Auftragnehmer ggf. zu einer anderweitigen Verarbeitung verpflichten. In einem solchen Fall teilt der Auftragnehmer dem </w:t>
      </w:r>
      <w:r w:rsidRPr="008067B5">
        <w:rPr>
          <w:szCs w:val="20"/>
        </w:rPr>
        <w:lastRenderedPageBreak/>
        <w:t>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w:t>
      </w:r>
      <w:r w:rsidR="00A71BDA">
        <w:rPr>
          <w:szCs w:val="20"/>
        </w:rPr>
        <w:t xml:space="preserve"> </w:t>
      </w:r>
      <w:r w:rsidRPr="008067B5">
        <w:rPr>
          <w:szCs w:val="20"/>
        </w:rPr>
        <w:t>oder den Weisungen des Auftraggebers. Eine hiervon abweichende Verarbeitung von Daten ist dem Auftragnehmer untersagt</w:t>
      </w:r>
      <w:r w:rsidR="00D57B8C">
        <w:rPr>
          <w:szCs w:val="20"/>
        </w:rPr>
        <w:t xml:space="preserve">. </w:t>
      </w:r>
    </w:p>
    <w:p w14:paraId="0D44993B" w14:textId="4C5C5F96" w:rsidR="008067B5" w:rsidRPr="008067B5" w:rsidRDefault="008067B5" w:rsidP="00677517">
      <w:pPr>
        <w:numPr>
          <w:ilvl w:val="0"/>
          <w:numId w:val="11"/>
        </w:numPr>
        <w:spacing w:after="120" w:line="240" w:lineRule="auto"/>
        <w:jc w:val="both"/>
        <w:rPr>
          <w:szCs w:val="20"/>
        </w:rPr>
      </w:pPr>
      <w:r w:rsidRPr="008067B5">
        <w:rPr>
          <w:szCs w:val="20"/>
        </w:rPr>
        <w:t xml:space="preserve">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w:t>
      </w:r>
      <w:r w:rsidR="007167A3">
        <w:rPr>
          <w:szCs w:val="20"/>
        </w:rPr>
        <w:t xml:space="preserve"> Die Ausführung offensichtlich datenschutzrechtswidriger Weisungen darf der Auftragnehmer jederzeit ablehnen. </w:t>
      </w:r>
    </w:p>
    <w:p w14:paraId="5922BAD1" w14:textId="4EEB7A67" w:rsidR="008067B5" w:rsidRPr="00766F21" w:rsidRDefault="008067B5" w:rsidP="00677517">
      <w:pPr>
        <w:numPr>
          <w:ilvl w:val="0"/>
          <w:numId w:val="11"/>
        </w:numPr>
        <w:spacing w:after="120" w:line="240" w:lineRule="auto"/>
        <w:jc w:val="both"/>
        <w:rPr>
          <w:szCs w:val="20"/>
        </w:rPr>
      </w:pPr>
      <w:r w:rsidRPr="008067B5">
        <w:rPr>
          <w:szCs w:val="20"/>
        </w:rPr>
        <w:t xml:space="preserve">Der Auftragnehmer </w:t>
      </w:r>
      <w:r w:rsidR="00D57B8C">
        <w:rPr>
          <w:szCs w:val="20"/>
        </w:rPr>
        <w:t>wird</w:t>
      </w:r>
      <w:r w:rsidR="004B1F8A">
        <w:rPr>
          <w:szCs w:val="20"/>
        </w:rPr>
        <w:t xml:space="preserve"> </w:t>
      </w:r>
      <w:r w:rsidRPr="008067B5">
        <w:rPr>
          <w:szCs w:val="20"/>
        </w:rPr>
        <w:t>dem Auftraggeber</w:t>
      </w:r>
      <w:r w:rsidR="00D57B8C">
        <w:rPr>
          <w:szCs w:val="20"/>
        </w:rPr>
        <w:t xml:space="preserve"> in </w:t>
      </w:r>
      <w:r w:rsidR="00D57B8C" w:rsidRPr="004B1F8A">
        <w:rPr>
          <w:b/>
          <w:szCs w:val="20"/>
        </w:rPr>
        <w:t>Anlage 1</w:t>
      </w:r>
      <w:r w:rsidRPr="008067B5">
        <w:rPr>
          <w:szCs w:val="20"/>
        </w:rPr>
        <w:t xml:space="preserve"> Person(en) benennen, die zum Empfang von Weisungen des Auftraggebers berechtigt sind. Für den Fall, dass sich die weisungsempfangsberechtigten Personen beim Auftragnehmer ändern, wird der Auftragnehmer dies dem Auftraggeber in Textform mitteilen.</w:t>
      </w:r>
    </w:p>
    <w:p w14:paraId="25C46C99" w14:textId="6FF1F79D" w:rsidR="00F13AD8" w:rsidRPr="00F13AD8" w:rsidRDefault="00F13AD8" w:rsidP="00677517">
      <w:pPr>
        <w:pStyle w:val="berschrift1"/>
        <w:spacing w:before="240"/>
        <w:ind w:left="567" w:hanging="567"/>
        <w:jc w:val="both"/>
      </w:pPr>
      <w:r w:rsidRPr="00F13AD8">
        <w:t>Meldepflichten des Auftragnehmers</w:t>
      </w:r>
    </w:p>
    <w:p w14:paraId="7B86F4BB" w14:textId="04DF4C1A" w:rsidR="00F13AD8" w:rsidRPr="00F13AD8" w:rsidRDefault="00F13AD8" w:rsidP="00677517">
      <w:pPr>
        <w:numPr>
          <w:ilvl w:val="0"/>
          <w:numId w:val="7"/>
        </w:numPr>
        <w:spacing w:after="120" w:line="240" w:lineRule="auto"/>
        <w:jc w:val="both"/>
        <w:rPr>
          <w:szCs w:val="20"/>
        </w:rPr>
      </w:pPr>
      <w:r w:rsidRPr="00F13AD8">
        <w:rPr>
          <w:szCs w:val="20"/>
        </w:rPr>
        <w:t>Der Auftragnehmer ist verpflichtet, dem Auftraggeber jeden Verstoß gegen datenschutzrechtliche Vorschriften oder gegen die getroffenen vertraglichen Vereinbarungen und/</w:t>
      </w:r>
      <w:r>
        <w:rPr>
          <w:szCs w:val="20"/>
        </w:rPr>
        <w:t xml:space="preserve"> </w:t>
      </w:r>
      <w:r w:rsidRPr="00F13AD8">
        <w:rPr>
          <w:szCs w:val="20"/>
        </w:rPr>
        <w:t>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14:paraId="0367B142" w14:textId="36F6881E" w:rsidR="00F13AD8" w:rsidRPr="00F13AD8" w:rsidRDefault="00F13AD8" w:rsidP="00677517">
      <w:pPr>
        <w:numPr>
          <w:ilvl w:val="0"/>
          <w:numId w:val="7"/>
        </w:numPr>
        <w:spacing w:after="120" w:line="240" w:lineRule="auto"/>
        <w:jc w:val="both"/>
        <w:rPr>
          <w:szCs w:val="20"/>
        </w:rPr>
      </w:pPr>
      <w:r w:rsidRPr="00F13AD8">
        <w:rPr>
          <w:szCs w:val="20"/>
        </w:rPr>
        <w:t>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21287282" w14:textId="57171D31" w:rsidR="007167A3" w:rsidRDefault="007167A3" w:rsidP="00677517">
      <w:pPr>
        <w:numPr>
          <w:ilvl w:val="0"/>
          <w:numId w:val="7"/>
        </w:numPr>
        <w:spacing w:after="120" w:line="240" w:lineRule="auto"/>
        <w:jc w:val="both"/>
        <w:rPr>
          <w:szCs w:val="20"/>
        </w:rPr>
      </w:pPr>
      <w:r w:rsidRPr="00766F21" w:rsidDel="00E2015E">
        <w:rPr>
          <w:szCs w:val="20"/>
        </w:rPr>
        <w:t>Der Auftragnehmer wird den Auftraggeber unverzüglich darüber informieren, wenn Betroffene ihre Betroffenenrechte gegenüber dem Auftragnehmer geltend machen.</w:t>
      </w:r>
      <w:r>
        <w:rPr>
          <w:szCs w:val="20"/>
        </w:rPr>
        <w:t xml:space="preserve"> </w:t>
      </w:r>
    </w:p>
    <w:p w14:paraId="3C07E640" w14:textId="2CF38B98" w:rsidR="00F13AD8" w:rsidRPr="00F13AD8" w:rsidRDefault="00F13AD8" w:rsidP="00677517">
      <w:pPr>
        <w:numPr>
          <w:ilvl w:val="0"/>
          <w:numId w:val="7"/>
        </w:numPr>
        <w:spacing w:after="120" w:line="240" w:lineRule="auto"/>
        <w:jc w:val="both"/>
        <w:rPr>
          <w:szCs w:val="20"/>
        </w:rPr>
      </w:pPr>
      <w:r w:rsidRPr="00F13AD8">
        <w:rPr>
          <w:szCs w:val="20"/>
        </w:rPr>
        <w:t xml:space="preserve">Dem Auftragnehmer ist bekannt, dass für den Auftraggeber eine Meldepflicht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w:t>
      </w:r>
      <w:r w:rsidR="00A71BDA" w:rsidRPr="00A71BDA">
        <w:rPr>
          <w:szCs w:val="20"/>
        </w:rPr>
        <w:t>Störungen des Betriebsablaufs oder anderen Unregelmäßigkeiten beim Umgang mit personenbezogenen Daten des Auftraggebers</w:t>
      </w:r>
      <w:r w:rsidR="00A71BDA">
        <w:rPr>
          <w:szCs w:val="20"/>
        </w:rPr>
        <w:t xml:space="preserve"> </w:t>
      </w:r>
      <w:r w:rsidRPr="00F13AD8">
        <w:rPr>
          <w:szCs w:val="20"/>
        </w:rPr>
        <w:t>unverzüglich ab Kenntnis des Zugriffs mitteilen. Die Meldung des Auftragnehmers an den Auftraggeber muss insbesondere folgende Informationen beinhalten:</w:t>
      </w:r>
    </w:p>
    <w:p w14:paraId="4FD57632" w14:textId="48F88A3E" w:rsidR="00A314DE" w:rsidRDefault="00F13AD8" w:rsidP="00677517">
      <w:pPr>
        <w:pStyle w:val="Listenabsatz"/>
        <w:numPr>
          <w:ilvl w:val="0"/>
          <w:numId w:val="8"/>
        </w:numPr>
        <w:jc w:val="both"/>
        <w:rPr>
          <w:szCs w:val="20"/>
        </w:rPr>
      </w:pPr>
      <w:r w:rsidRPr="00F13AD8">
        <w:rPr>
          <w:szCs w:val="20"/>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01DC422C" w14:textId="51BEC248" w:rsidR="007167A3" w:rsidRDefault="007167A3" w:rsidP="00677517">
      <w:pPr>
        <w:pStyle w:val="Listenabsatz"/>
        <w:numPr>
          <w:ilvl w:val="0"/>
          <w:numId w:val="8"/>
        </w:numPr>
        <w:jc w:val="both"/>
        <w:rPr>
          <w:szCs w:val="20"/>
        </w:rPr>
      </w:pPr>
      <w:r>
        <w:rPr>
          <w:szCs w:val="20"/>
        </w:rPr>
        <w:t>eine Beschreibung der wahrscheinlichen Folgen der Verletzung</w:t>
      </w:r>
      <w:r w:rsidR="00B72FE8">
        <w:rPr>
          <w:szCs w:val="20"/>
        </w:rPr>
        <w:t xml:space="preserve"> des Schutzes personenbezogener Daten</w:t>
      </w:r>
    </w:p>
    <w:p w14:paraId="5C033261" w14:textId="482616BC" w:rsidR="003409AD" w:rsidRPr="00F13AD8" w:rsidRDefault="00F13AD8" w:rsidP="00677517">
      <w:pPr>
        <w:pStyle w:val="Listenabsatz"/>
        <w:numPr>
          <w:ilvl w:val="0"/>
          <w:numId w:val="8"/>
        </w:numPr>
        <w:jc w:val="both"/>
        <w:rPr>
          <w:szCs w:val="20"/>
        </w:rPr>
      </w:pPr>
      <w:r w:rsidRPr="00A314DE">
        <w:rPr>
          <w:szCs w:val="20"/>
        </w:rPr>
        <w:t>eine Beschreibung der von dem Auftragnehmer ergriffenen oder vorgeschlagenen Maßnahmen zur Behebung der Verletzung des Schutzes personenbezogener Daten und gegebenenfalls Maßnahmen zur Abmilderung ihrer möglichen nachteiligen Auswirkungen.</w:t>
      </w:r>
    </w:p>
    <w:p w14:paraId="4B156AB6" w14:textId="56CF15CC" w:rsidR="00A314DE" w:rsidRPr="00A314DE" w:rsidRDefault="00A314DE" w:rsidP="00677517">
      <w:pPr>
        <w:pStyle w:val="berschrift1"/>
        <w:spacing w:before="240"/>
        <w:ind w:left="567" w:hanging="567"/>
        <w:jc w:val="both"/>
      </w:pPr>
      <w:r w:rsidRPr="00A314DE">
        <w:t>Mitwirkungspflichten des Auftragnehmers</w:t>
      </w:r>
    </w:p>
    <w:p w14:paraId="0FABAC73" w14:textId="1C71F44D" w:rsidR="00A314DE" w:rsidRPr="00A314DE" w:rsidRDefault="00A314DE" w:rsidP="00677517">
      <w:pPr>
        <w:numPr>
          <w:ilvl w:val="0"/>
          <w:numId w:val="9"/>
        </w:numPr>
        <w:spacing w:after="120" w:line="240" w:lineRule="auto"/>
        <w:jc w:val="both"/>
        <w:rPr>
          <w:szCs w:val="20"/>
        </w:rPr>
      </w:pPr>
      <w:r w:rsidRPr="00A314DE">
        <w:rPr>
          <w:szCs w:val="20"/>
        </w:rPr>
        <w:t xml:space="preserve">Der Auftragnehmer unterstützt den Auftraggeber bei seiner Pflicht zur Beantwortung von Anträgen auf Wahrnehmung von </w:t>
      </w:r>
      <w:r w:rsidR="00EB246A">
        <w:rPr>
          <w:szCs w:val="20"/>
        </w:rPr>
        <w:t xml:space="preserve">Betroffenenrechten nach Art. 12 bis </w:t>
      </w:r>
      <w:r w:rsidRPr="00A314DE">
        <w:rPr>
          <w:szCs w:val="20"/>
        </w:rPr>
        <w:t xml:space="preserve">23 DSGVO. </w:t>
      </w:r>
      <w:r w:rsidR="00B72FE8" w:rsidRPr="00FC0BC0">
        <w:t>Der Auftragnehmer hat dabei insbesondere Sorge dafür zu tragen, dass die insoweit erforderlichen Informationen unverzüglich an den Auftraggeber erteilt werden, damit dieser insbesondere seinen Pflichten aus Art. 12 Abs. 3 DSGVO nachko</w:t>
      </w:r>
      <w:r w:rsidR="00B72FE8">
        <w:t>mmen kann.</w:t>
      </w:r>
      <w:r w:rsidR="00B72FE8" w:rsidRPr="00B72FE8">
        <w:t xml:space="preserve"> </w:t>
      </w:r>
      <w:r w:rsidR="00B72FE8" w:rsidRPr="00FC0BC0">
        <w:t xml:space="preserve">Soweit eine Mitwirkung des Auftragnehmers für die Wahrung von Betroffenenrechten </w:t>
      </w:r>
      <w:r w:rsidR="004B1F8A" w:rsidRPr="000C5DE9">
        <w:rPr>
          <w:bCs/>
        </w:rPr>
        <w:t>–</w:t>
      </w:r>
      <w:r w:rsidR="00B72FE8" w:rsidRPr="00FC0BC0">
        <w:t xml:space="preserve"> insbesondere auf Auskunft, Berichtigung, Sperrung oder Löschung </w:t>
      </w:r>
      <w:r w:rsidR="004B1F8A" w:rsidRPr="000C5DE9">
        <w:rPr>
          <w:bCs/>
        </w:rPr>
        <w:lastRenderedPageBreak/>
        <w:t>–</w:t>
      </w:r>
      <w:r w:rsidR="00B72FE8" w:rsidRPr="00FC0BC0">
        <w:t xml:space="preserve">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r w:rsidR="004B1F8A">
        <w:t>.</w:t>
      </w:r>
    </w:p>
    <w:p w14:paraId="60022FA7" w14:textId="5AB5E9D7" w:rsidR="00A314DE" w:rsidRPr="00A314DE" w:rsidRDefault="00A314DE" w:rsidP="00677517">
      <w:pPr>
        <w:numPr>
          <w:ilvl w:val="0"/>
          <w:numId w:val="9"/>
        </w:numPr>
        <w:spacing w:after="120" w:line="240" w:lineRule="auto"/>
        <w:jc w:val="both"/>
        <w:rPr>
          <w:szCs w:val="20"/>
        </w:rPr>
      </w:pPr>
      <w:r w:rsidRPr="00A314DE">
        <w:rPr>
          <w:szCs w:val="20"/>
        </w:rPr>
        <w:t>Der Auftragnehmer unterstützt den Auftraggeber unter Berücksichtigung der Art der Verarbeitung und der ihm zur Verfügung stehenden Informationen bei der Einhaltung der in Art. 3</w:t>
      </w:r>
      <w:r w:rsidR="00B72FE8">
        <w:rPr>
          <w:szCs w:val="20"/>
        </w:rPr>
        <w:t>5</w:t>
      </w:r>
      <w:r w:rsidR="000E27C1">
        <w:rPr>
          <w:szCs w:val="20"/>
        </w:rPr>
        <w:t xml:space="preserve"> bis </w:t>
      </w:r>
      <w:r w:rsidRPr="00A314DE">
        <w:rPr>
          <w:szCs w:val="20"/>
        </w:rPr>
        <w:t>36 DSGVO genannten Pflichten</w:t>
      </w:r>
      <w:r w:rsidR="008354B5">
        <w:rPr>
          <w:szCs w:val="20"/>
        </w:rPr>
        <w:t>.</w:t>
      </w:r>
    </w:p>
    <w:p w14:paraId="556B885D" w14:textId="77777777" w:rsidR="00A314DE" w:rsidRPr="00A673CE" w:rsidRDefault="00A314DE" w:rsidP="00677517">
      <w:pPr>
        <w:pStyle w:val="berschrift1"/>
        <w:spacing w:before="240"/>
        <w:ind w:left="567" w:hanging="567"/>
        <w:jc w:val="both"/>
      </w:pPr>
      <w:r w:rsidRPr="00A673CE">
        <w:t>Kontrollrechte des Auftraggebers</w:t>
      </w:r>
    </w:p>
    <w:p w14:paraId="6F75A4B7" w14:textId="45865F91" w:rsidR="00766F21" w:rsidRPr="00766F21" w:rsidRDefault="00766F21" w:rsidP="00677517">
      <w:pPr>
        <w:numPr>
          <w:ilvl w:val="0"/>
          <w:numId w:val="12"/>
        </w:numPr>
        <w:spacing w:after="120" w:line="240" w:lineRule="auto"/>
        <w:jc w:val="both"/>
        <w:rPr>
          <w:szCs w:val="20"/>
        </w:rPr>
      </w:pPr>
      <w:r w:rsidRPr="00766F21">
        <w:rPr>
          <w:szCs w:val="20"/>
        </w:rPr>
        <w:t>Der Auftraggeber hat das Recht, die Einhaltung der gesetzlichen Vorschriften zum Datenschutz und/oder die Einhaltung der zwischen den Parteien getroffenen vertraglichen Regelungen und/oder die Einhaltung der Weisungen des Auftraggebers durch den Auftragnehmer im erforderlichen Umfang zu kontrollieren</w:t>
      </w:r>
      <w:r w:rsidR="00E17BA7">
        <w:rPr>
          <w:szCs w:val="20"/>
        </w:rPr>
        <w:t xml:space="preserve"> bzw. durch beauftragte Prüfer kontrollieren zu lassen</w:t>
      </w:r>
      <w:r w:rsidRPr="00766F21">
        <w:rPr>
          <w:szCs w:val="20"/>
        </w:rPr>
        <w:t>.</w:t>
      </w:r>
    </w:p>
    <w:p w14:paraId="13FC312E" w14:textId="77777777" w:rsidR="00766F21" w:rsidRPr="00766F21" w:rsidRDefault="00766F21" w:rsidP="00677517">
      <w:pPr>
        <w:numPr>
          <w:ilvl w:val="0"/>
          <w:numId w:val="12"/>
        </w:numPr>
        <w:spacing w:after="120" w:line="240" w:lineRule="auto"/>
        <w:jc w:val="both"/>
        <w:rPr>
          <w:szCs w:val="20"/>
        </w:rPr>
      </w:pPr>
      <w:r w:rsidRPr="00766F21">
        <w:rPr>
          <w:szCs w:val="20"/>
        </w:rPr>
        <w:t>Der Auftragnehmer ist dem Auftraggeber gegenüber zur Auskunftserteilung verpflichtet, soweit dies zur Durchführung der Kontrolle i.S.d. Absatzes 1 erforderlich ist.</w:t>
      </w:r>
    </w:p>
    <w:p w14:paraId="35DEDD4D" w14:textId="0FD8BBF8" w:rsidR="00766F21" w:rsidRDefault="00766F21" w:rsidP="00677517">
      <w:pPr>
        <w:numPr>
          <w:ilvl w:val="0"/>
          <w:numId w:val="12"/>
        </w:numPr>
        <w:spacing w:after="120" w:line="240" w:lineRule="auto"/>
        <w:jc w:val="both"/>
        <w:rPr>
          <w:szCs w:val="20"/>
        </w:rPr>
      </w:pPr>
      <w:r w:rsidRPr="00766F21">
        <w:rPr>
          <w:szCs w:val="20"/>
        </w:rPr>
        <w:t xml:space="preserve">Der Auftraggeber </w:t>
      </w:r>
      <w:r w:rsidR="00E17BA7">
        <w:rPr>
          <w:szCs w:val="20"/>
        </w:rPr>
        <w:t xml:space="preserve">bzw. der beauftragte Prüfer </w:t>
      </w:r>
      <w:r w:rsidRPr="00766F21">
        <w:rPr>
          <w:szCs w:val="20"/>
        </w:rPr>
        <w:t>kann nach vorheriger Anmeldung mit angemessener Frist die Kontrolle im Sinne des Absatzes 1 zu den jeweils üblichen Geschäftszeiten vornehmen. Der Auftraggeber wird dabei Sorge dafür tragen, dass die Kontrollen nur im erforderlichen Umfang durchgeführt werden, um die Betriebsabläufe des Auftragnehmers durch die Kontrollen nicht unverhältnismäßig zu stören. Die Parteien gehen davon aus, dass eine Kontrolle höchstens einmal jährlich erforderlich ist. Weitere Prüfungen sind vom Auftraggeber unter Angabe des Anlasses zu begründen. Jede Partei trägt ihre bei Kontrollen anfallenden Kosten selbst. Soweit die Mitwirkung des Auftragnehmers im Zusammenhang mit Kontrollen i.S.d. Absatzes 1 über das erforderliche Maß deutlich hinausgeht, können die dafür anfallenden Kosten von diesem nach branchenüblichen Sätz</w:t>
      </w:r>
      <w:r>
        <w:rPr>
          <w:szCs w:val="20"/>
        </w:rPr>
        <w:t>en in Rechnung gestellt werden.</w:t>
      </w:r>
    </w:p>
    <w:p w14:paraId="1B107ACC" w14:textId="66CF8FF7" w:rsidR="00A314DE" w:rsidRPr="00766F21" w:rsidRDefault="00766F21" w:rsidP="00677517">
      <w:pPr>
        <w:numPr>
          <w:ilvl w:val="0"/>
          <w:numId w:val="12"/>
        </w:numPr>
        <w:spacing w:after="120" w:line="240" w:lineRule="auto"/>
        <w:jc w:val="both"/>
        <w:rPr>
          <w:szCs w:val="20"/>
        </w:rPr>
      </w:pPr>
      <w:r>
        <w:rPr>
          <w:szCs w:val="20"/>
        </w:rPr>
        <w:t>D</w:t>
      </w:r>
      <w:r w:rsidRPr="00766F21">
        <w:rPr>
          <w:szCs w:val="20"/>
        </w:rPr>
        <w:t xml:space="preserve">er Nachweis der Einhaltung der technischen und organisatorischen Maßnahmen </w:t>
      </w:r>
      <w:r>
        <w:rPr>
          <w:szCs w:val="20"/>
        </w:rPr>
        <w:t xml:space="preserve">kann </w:t>
      </w:r>
      <w:r w:rsidRPr="00766F21">
        <w:rPr>
          <w:szCs w:val="20"/>
        </w:rPr>
        <w:t>durch die Vorlage eines geeigneten, aktuellen Testats, von Berichten oder Berichtsauszügen unabhängiger Instanzen (z.B. Wirtschaftsprüfer, Revision, Datenschutzbeauftragter, IT-Si</w:t>
      </w:r>
      <w:r>
        <w:rPr>
          <w:szCs w:val="20"/>
        </w:rPr>
        <w:t>cherheitsabteilung, Datenschutz</w:t>
      </w:r>
      <w:r w:rsidRPr="00766F21">
        <w:rPr>
          <w:szCs w:val="20"/>
        </w:rPr>
        <w:t xml:space="preserve">auditoren oder Qualitätsauditoren) oder einer geeigneten Zertifizierung </w:t>
      </w:r>
      <w:r w:rsidR="00F20480">
        <w:rPr>
          <w:szCs w:val="20"/>
        </w:rPr>
        <w:t>unterstützt</w:t>
      </w:r>
      <w:r w:rsidR="00F20480" w:rsidRPr="00766F21">
        <w:rPr>
          <w:szCs w:val="20"/>
        </w:rPr>
        <w:t xml:space="preserve"> </w:t>
      </w:r>
      <w:r w:rsidRPr="00766F21">
        <w:rPr>
          <w:szCs w:val="20"/>
        </w:rPr>
        <w:t xml:space="preserve">werden, wenn der Prüfungsbericht es dem Auftraggeber in angemessener Weise ermöglicht, sich von der Einhaltung der technischen und organisatorischen Maßnahmen gemäß </w:t>
      </w:r>
      <w:r w:rsidRPr="00FC0BC0">
        <w:rPr>
          <w:b/>
          <w:szCs w:val="20"/>
        </w:rPr>
        <w:t xml:space="preserve">Anlage </w:t>
      </w:r>
      <w:r w:rsidR="00FC0BC0" w:rsidRPr="00FC0BC0">
        <w:rPr>
          <w:b/>
          <w:szCs w:val="20"/>
        </w:rPr>
        <w:t>2</w:t>
      </w:r>
      <w:r w:rsidRPr="00766F21">
        <w:rPr>
          <w:szCs w:val="20"/>
        </w:rPr>
        <w:t xml:space="preserve"> zu diesem Vertrag zu überzeugen. </w:t>
      </w:r>
      <w:r w:rsidR="00F20480">
        <w:rPr>
          <w:szCs w:val="20"/>
        </w:rPr>
        <w:t>Das Kontrollrecht des Auftraggebers in Form einer Vor-Ort-Kontrolle bleibt hiervon unberührt</w:t>
      </w:r>
      <w:r w:rsidRPr="00766F21">
        <w:rPr>
          <w:szCs w:val="20"/>
        </w:rPr>
        <w:t xml:space="preserve">. </w:t>
      </w:r>
      <w:r w:rsidRPr="00FC0BC0">
        <w:rPr>
          <w:szCs w:val="20"/>
        </w:rPr>
        <w:t xml:space="preserve">Dem Auftraggeber ist bekannt, dass eine Vor-Ort-Kontrolle in Rechenzentren nur in begründeten Ausnahmefällen </w:t>
      </w:r>
      <w:r w:rsidR="00F20480">
        <w:rPr>
          <w:szCs w:val="20"/>
        </w:rPr>
        <w:t>durchgeführt werden sollte</w:t>
      </w:r>
      <w:r w:rsidRPr="00FC0BC0">
        <w:rPr>
          <w:szCs w:val="20"/>
        </w:rPr>
        <w:t>.</w:t>
      </w:r>
    </w:p>
    <w:p w14:paraId="617E2BFB" w14:textId="77777777" w:rsidR="0053130F" w:rsidRPr="00EF1EFF" w:rsidRDefault="0053130F" w:rsidP="00677517">
      <w:pPr>
        <w:pStyle w:val="berschrift1"/>
        <w:spacing w:before="240"/>
        <w:ind w:left="567" w:hanging="567"/>
        <w:jc w:val="both"/>
      </w:pPr>
      <w:r w:rsidRPr="00EF1EFF">
        <w:t>Unterauftragsverhältnisse</w:t>
      </w:r>
    </w:p>
    <w:p w14:paraId="1D75BA80" w14:textId="041B112B" w:rsidR="00EF1EFF" w:rsidRPr="00EF1EFF" w:rsidRDefault="00EF1EFF" w:rsidP="00677517">
      <w:pPr>
        <w:numPr>
          <w:ilvl w:val="0"/>
          <w:numId w:val="13"/>
        </w:numPr>
        <w:spacing w:after="120" w:line="240" w:lineRule="auto"/>
        <w:jc w:val="both"/>
        <w:rPr>
          <w:szCs w:val="20"/>
        </w:rPr>
      </w:pPr>
      <w:r w:rsidRPr="00EF1EFF">
        <w:rPr>
          <w:szCs w:val="20"/>
        </w:rPr>
        <w:t xml:space="preserve">Der Auftragnehmer ist berechtigt, die in der </w:t>
      </w:r>
      <w:r w:rsidRPr="00FC0BC0">
        <w:rPr>
          <w:b/>
          <w:szCs w:val="20"/>
        </w:rPr>
        <w:t xml:space="preserve">Anlage </w:t>
      </w:r>
      <w:r w:rsidR="00FC0BC0" w:rsidRPr="00FC0BC0">
        <w:rPr>
          <w:b/>
          <w:szCs w:val="20"/>
        </w:rPr>
        <w:t>1</w:t>
      </w:r>
      <w:r w:rsidRPr="00EF1EFF">
        <w:rPr>
          <w:szCs w:val="20"/>
        </w:rPr>
        <w:t xml:space="preserve"> zu diesem Vertrag angegebenen Unterauftragnehmer </w:t>
      </w:r>
      <w:r w:rsidR="005E7B24">
        <w:rPr>
          <w:szCs w:val="20"/>
        </w:rPr>
        <w:t xml:space="preserve">als weitere Auftragsverarbeiter im Sinne von Art. 28 Abs. 4 DSGVO </w:t>
      </w:r>
      <w:r w:rsidRPr="00EF1EFF">
        <w:rPr>
          <w:szCs w:val="20"/>
        </w:rPr>
        <w:t>für die Verarbeitung vo</w:t>
      </w:r>
      <w:r w:rsidR="00C70E10">
        <w:rPr>
          <w:szCs w:val="20"/>
        </w:rPr>
        <w:t>n Daten im Auftrag einzusetzen.</w:t>
      </w:r>
      <w:r w:rsidR="000F050E">
        <w:rPr>
          <w:szCs w:val="20"/>
        </w:rPr>
        <w:t xml:space="preserve"> Der Auftragnehmer bestätigt, dass er mit diesen Unterauftragnehmern vertragliche Regelungen getroffen hat, wonach diese denselben datenschutzrechtlichen Verpflichtungen unterliegen wie der Auftragnehmer selbst. </w:t>
      </w:r>
    </w:p>
    <w:p w14:paraId="58061C84" w14:textId="77777777" w:rsidR="00C70E10" w:rsidRDefault="00C70E10" w:rsidP="00C70E10">
      <w:pPr>
        <w:pStyle w:val="Listenabsatz"/>
        <w:numPr>
          <w:ilvl w:val="0"/>
          <w:numId w:val="13"/>
        </w:numPr>
        <w:spacing w:after="120" w:line="240" w:lineRule="auto"/>
        <w:jc w:val="both"/>
        <w:rPr>
          <w:szCs w:val="20"/>
        </w:rPr>
      </w:pPr>
      <w:r>
        <w:rPr>
          <w:szCs w:val="20"/>
        </w:rPr>
        <w:t xml:space="preserve">Für den </w:t>
      </w:r>
      <w:r w:rsidRPr="00EF1EFF">
        <w:rPr>
          <w:szCs w:val="20"/>
        </w:rPr>
        <w:t xml:space="preserve">Wechsel von Unterauftragnehmern oder die Beauftragung weiterer Unterauftragnehmer </w:t>
      </w:r>
      <w:r>
        <w:rPr>
          <w:szCs w:val="20"/>
        </w:rPr>
        <w:t>gelten die</w:t>
      </w:r>
      <w:r w:rsidRPr="00EF1EFF">
        <w:rPr>
          <w:szCs w:val="20"/>
        </w:rPr>
        <w:t xml:space="preserve"> </w:t>
      </w:r>
      <w:r>
        <w:rPr>
          <w:szCs w:val="20"/>
        </w:rPr>
        <w:t>im Folgenden genannten Bedingungen:</w:t>
      </w:r>
    </w:p>
    <w:p w14:paraId="71EF05B5" w14:textId="77777777" w:rsidR="00C70E10" w:rsidRDefault="00677517" w:rsidP="00C70E10">
      <w:pPr>
        <w:pStyle w:val="Listenabsatz"/>
        <w:numPr>
          <w:ilvl w:val="0"/>
          <w:numId w:val="8"/>
        </w:numPr>
        <w:jc w:val="both"/>
        <w:rPr>
          <w:szCs w:val="20"/>
        </w:rPr>
      </w:pPr>
      <w:r w:rsidRPr="00677517">
        <w:rPr>
          <w:szCs w:val="20"/>
        </w:rPr>
        <w:t>Der Auftragnehmer hat sicherzustellen, dass die in diesem Vertrag vereinbarten Regelungen und ggf. ergänzende Weisungen des Auftraggebers auch gegenüber dem Unterauftragnehmer gelten.</w:t>
      </w:r>
    </w:p>
    <w:p w14:paraId="282ABACA" w14:textId="57A59417" w:rsidR="00C70E10" w:rsidRDefault="00677517" w:rsidP="00C70E10">
      <w:pPr>
        <w:pStyle w:val="Listenabsatz"/>
        <w:numPr>
          <w:ilvl w:val="0"/>
          <w:numId w:val="8"/>
        </w:numPr>
        <w:jc w:val="both"/>
        <w:rPr>
          <w:szCs w:val="20"/>
        </w:rPr>
      </w:pPr>
      <w:r w:rsidRPr="00C70E10">
        <w:rPr>
          <w:szCs w:val="20"/>
        </w:rPr>
        <w:t xml:space="preserve">Der Auftragnehmer hat mit dem Unterauftragnehmer einen Auftragsverarbeitungsvertrag zu schließen, der den </w:t>
      </w:r>
      <w:r w:rsidR="005E7B24">
        <w:rPr>
          <w:szCs w:val="20"/>
        </w:rPr>
        <w:t>Bestimmungen</w:t>
      </w:r>
      <w:r w:rsidRPr="00C70E10">
        <w:rPr>
          <w:szCs w:val="20"/>
        </w:rPr>
        <w:t xml:space="preserve"> des Art. 28 DSGVO entspricht. Darüber hinaus hat der Auftragnehmer dem Unterauftragnehmer dieselben Pflichten zum Schutz personenbezogener Daten aufzuerlegen, die zwischen Auftraggeber und Auftragnehmer festgelegt sind. Insbesondere müssen die mit dem Unterauftragnehmer zu vereinbarenden technischen und organisatorischen Maßnahmen mindestens dasselbe Schutzniveau aufweisen.</w:t>
      </w:r>
    </w:p>
    <w:p w14:paraId="6D7FEDDE" w14:textId="521DB0C3" w:rsidR="00677517" w:rsidRPr="00C70E10" w:rsidRDefault="00554F93" w:rsidP="00C70E10">
      <w:pPr>
        <w:pStyle w:val="Listenabsatz"/>
        <w:numPr>
          <w:ilvl w:val="0"/>
          <w:numId w:val="8"/>
        </w:numPr>
        <w:jc w:val="both"/>
        <w:rPr>
          <w:szCs w:val="20"/>
        </w:rPr>
      </w:pPr>
      <w:r w:rsidRPr="00C70E10">
        <w:rPr>
          <w:szCs w:val="20"/>
        </w:rPr>
        <w:t xml:space="preserve">Der Auftragnehmer </w:t>
      </w:r>
      <w:r w:rsidR="00EB246A" w:rsidRPr="00C70E10">
        <w:rPr>
          <w:szCs w:val="20"/>
        </w:rPr>
        <w:t xml:space="preserve">informiert den Auftraggeber unverzüglich über jede beabsichtigte Änderung in Bezug auf die Hinzuziehung neuer oder die Ersetzung bisheriger Unterauftragnehmer </w:t>
      </w:r>
      <w:r w:rsidR="00EB246A" w:rsidRPr="00C70E10">
        <w:rPr>
          <w:szCs w:val="20"/>
        </w:rPr>
        <w:lastRenderedPageBreak/>
        <w:t>(„</w:t>
      </w:r>
      <w:r w:rsidRPr="00C70E10">
        <w:rPr>
          <w:szCs w:val="20"/>
        </w:rPr>
        <w:t>Änderungsmitteilung</w:t>
      </w:r>
      <w:r w:rsidR="00EB246A" w:rsidRPr="00C70E10">
        <w:rPr>
          <w:szCs w:val="20"/>
        </w:rPr>
        <w:t>“), wodurch der Auftraggeber die Möglichkeit erhält, gegen derartige Änderungen Einspruch zu erheben (Art. 28 Abs. 2 Satz 2 DSGVO).</w:t>
      </w:r>
      <w:r w:rsidR="00C70E10">
        <w:rPr>
          <w:szCs w:val="20"/>
        </w:rPr>
        <w:t xml:space="preserve"> </w:t>
      </w:r>
      <w:r w:rsidR="00EB246A" w:rsidRPr="00C70E10">
        <w:rPr>
          <w:szCs w:val="20"/>
        </w:rPr>
        <w:t xml:space="preserve">Die </w:t>
      </w:r>
      <w:r w:rsidRPr="00C70E10">
        <w:rPr>
          <w:szCs w:val="20"/>
        </w:rPr>
        <w:t xml:space="preserve">Änderungsmitteilung </w:t>
      </w:r>
      <w:r w:rsidR="00EB246A" w:rsidRPr="00C70E10">
        <w:rPr>
          <w:szCs w:val="20"/>
        </w:rPr>
        <w:t>hat an die weisungsberechtigten Personen</w:t>
      </w:r>
      <w:r w:rsidRPr="00C70E10">
        <w:rPr>
          <w:szCs w:val="20"/>
        </w:rPr>
        <w:t xml:space="preserve"> des Auftraggebers zu erfolgen.</w:t>
      </w:r>
    </w:p>
    <w:p w14:paraId="0FDC611D" w14:textId="77777777" w:rsidR="00677517" w:rsidRDefault="00677517" w:rsidP="00C70E10">
      <w:pPr>
        <w:pStyle w:val="Listenabsatz"/>
        <w:numPr>
          <w:ilvl w:val="0"/>
          <w:numId w:val="8"/>
        </w:numPr>
        <w:jc w:val="both"/>
        <w:rPr>
          <w:szCs w:val="20"/>
        </w:rPr>
      </w:pPr>
      <w:r w:rsidRPr="00677517">
        <w:rPr>
          <w:szCs w:val="20"/>
        </w:rPr>
        <w:t>Wenn kein Einspruch des Auftraggebers binnen zwei Wochen nach Zugang der Änderungsmitteilung erfolgt, gilt die Änderung als genehmigt.</w:t>
      </w:r>
    </w:p>
    <w:p w14:paraId="495A4748" w14:textId="77777777" w:rsidR="00677517" w:rsidRDefault="00677517" w:rsidP="00C70E10">
      <w:pPr>
        <w:pStyle w:val="Listenabsatz"/>
        <w:numPr>
          <w:ilvl w:val="0"/>
          <w:numId w:val="8"/>
        </w:numPr>
        <w:jc w:val="both"/>
        <w:rPr>
          <w:szCs w:val="20"/>
        </w:rPr>
      </w:pPr>
      <w:r w:rsidRPr="00677517">
        <w:rPr>
          <w:szCs w:val="20"/>
        </w:rPr>
        <w:t>Ein Einspruch kann vom Auftraggeber jederzeit in Textform zurückgenommen werden.</w:t>
      </w:r>
    </w:p>
    <w:p w14:paraId="53E2D5F9" w14:textId="4C9E46A7" w:rsidR="00EF1EFF" w:rsidRPr="00C70E10" w:rsidRDefault="00554F93" w:rsidP="00C70E10">
      <w:pPr>
        <w:pStyle w:val="Listenabsatz"/>
        <w:numPr>
          <w:ilvl w:val="0"/>
          <w:numId w:val="8"/>
        </w:numPr>
        <w:jc w:val="both"/>
        <w:rPr>
          <w:szCs w:val="20"/>
        </w:rPr>
      </w:pPr>
      <w:r w:rsidRPr="00677517">
        <w:rPr>
          <w:szCs w:val="20"/>
        </w:rPr>
        <w:t>Hat der Auftraggeber Einspruch gegen einen Unterauftragnehmer erhoben und ist eine einvernehmliche Lösungsfindung zwischen dem Auftraggeber und dem Auftragnehmer nicht möglich, steht dem Auftraggeber und dem Auftragnehmer ein Sonderkün</w:t>
      </w:r>
      <w:r w:rsidR="00677517" w:rsidRPr="00677517">
        <w:rPr>
          <w:szCs w:val="20"/>
        </w:rPr>
        <w:t>digungsrecht zu. Der Auftragneh</w:t>
      </w:r>
      <w:r w:rsidRPr="00677517">
        <w:rPr>
          <w:szCs w:val="20"/>
        </w:rPr>
        <w:t>mer wird bei der Kündigungsfrist die Interessen des Auftraggeb</w:t>
      </w:r>
      <w:r w:rsidR="00677517" w:rsidRPr="00677517">
        <w:rPr>
          <w:szCs w:val="20"/>
        </w:rPr>
        <w:t>ers angemessen berücksichtigen.</w:t>
      </w:r>
    </w:p>
    <w:p w14:paraId="6D0AD747" w14:textId="088E0ECA" w:rsidR="00FC0BC0" w:rsidRDefault="00EF1EFF" w:rsidP="000F050E">
      <w:pPr>
        <w:numPr>
          <w:ilvl w:val="0"/>
          <w:numId w:val="13"/>
        </w:numPr>
        <w:spacing w:after="120" w:line="240" w:lineRule="auto"/>
        <w:jc w:val="both"/>
        <w:rPr>
          <w:szCs w:val="20"/>
        </w:rPr>
      </w:pPr>
      <w:r w:rsidRPr="00EF1EFF">
        <w:rPr>
          <w:szCs w:val="20"/>
        </w:rPr>
        <w:t>Nicht als Unterauftragsver</w:t>
      </w:r>
      <w:r w:rsidR="008354B5">
        <w:rPr>
          <w:szCs w:val="20"/>
        </w:rPr>
        <w:t xml:space="preserve">hältnisse </w:t>
      </w:r>
      <w:proofErr w:type="spellStart"/>
      <w:r w:rsidR="008354B5">
        <w:rPr>
          <w:szCs w:val="20"/>
        </w:rPr>
        <w:t>i.S.d</w:t>
      </w:r>
      <w:proofErr w:type="spellEnd"/>
      <w:r w:rsidR="008354B5">
        <w:rPr>
          <w:szCs w:val="20"/>
        </w:rPr>
        <w:t xml:space="preserve">. Absätze 1 bis </w:t>
      </w:r>
      <w:r w:rsidR="00792DD0">
        <w:rPr>
          <w:szCs w:val="20"/>
        </w:rPr>
        <w:t>2</w:t>
      </w:r>
      <w:r w:rsidRPr="00EF1EFF">
        <w:rPr>
          <w:szCs w:val="20"/>
        </w:rPr>
        <w:t xml:space="preserve">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Unterauftragsverhältnis und Auftragsverarbeitung i.S.d. Art. 28 DSGVO dar, wenn die Wartung und Prüfung solche IT-Systeme betrifft, die auch im Zusammenhang mit der Erbringung von Leistungen für den Auftraggeber genutzt werden und </w:t>
      </w:r>
      <w:r w:rsidR="005E7B24">
        <w:rPr>
          <w:szCs w:val="20"/>
        </w:rPr>
        <w:t xml:space="preserve">wenn </w:t>
      </w:r>
      <w:r w:rsidRPr="00EF1EFF">
        <w:rPr>
          <w:szCs w:val="20"/>
        </w:rPr>
        <w:t>bei der Wartung auf personenbezogenen Daten zugegriffen werden kann, die im Auftrag des Auftraggebers verarbeitet werden.</w:t>
      </w:r>
    </w:p>
    <w:p w14:paraId="1943899F" w14:textId="238C907F" w:rsidR="00FC0BC0" w:rsidRDefault="00FC0BC0" w:rsidP="00677517">
      <w:pPr>
        <w:pStyle w:val="berschrift1"/>
        <w:spacing w:before="240"/>
        <w:ind w:left="567" w:hanging="567"/>
        <w:jc w:val="both"/>
      </w:pPr>
      <w:r w:rsidRPr="00FC0BC0">
        <w:t>Vertraulichkeitsverpflichtung</w:t>
      </w:r>
    </w:p>
    <w:p w14:paraId="2F60EE10" w14:textId="77777777" w:rsidR="00FC0BC0" w:rsidRDefault="00FC0BC0" w:rsidP="00677517">
      <w:pPr>
        <w:pStyle w:val="Listenabsatz"/>
        <w:numPr>
          <w:ilvl w:val="0"/>
          <w:numId w:val="16"/>
        </w:numPr>
        <w:spacing w:before="240" w:after="120" w:line="240" w:lineRule="auto"/>
        <w:jc w:val="both"/>
      </w:pPr>
      <w:r w:rsidRPr="00FC0BC0">
        <w:t xml:space="preserve">Der Auftragnehmer ist bei der Verarbeitung von Daten für den Auftraggeber zur Wahrung der Vertraulichkeit über Daten, die er im Zusammenhang mit dem Auftrag erhält bzw. zur </w:t>
      </w:r>
      <w:r>
        <w:t>Kenntnis erlangt, verpflichtet.</w:t>
      </w:r>
    </w:p>
    <w:p w14:paraId="6EC7FA41" w14:textId="2A2E32EE" w:rsidR="00FC0BC0" w:rsidRPr="00FC0BC0" w:rsidRDefault="00FC0BC0" w:rsidP="00677517">
      <w:pPr>
        <w:pStyle w:val="Listenabsatz"/>
        <w:numPr>
          <w:ilvl w:val="0"/>
          <w:numId w:val="16"/>
        </w:numPr>
        <w:spacing w:before="240" w:after="120" w:line="240" w:lineRule="auto"/>
        <w:jc w:val="both"/>
      </w:pPr>
      <w:r w:rsidRPr="00FC0BC0">
        <w:t>Der Auftragnehmer hat seine Beschäftigten mit den für sie maßgeblichen Bestimmungen des Datenschutzes vertraut gemacht und zur Vertraulichkeit verpflichtet.</w:t>
      </w:r>
    </w:p>
    <w:p w14:paraId="3E33FC54" w14:textId="2D48C643" w:rsidR="003E03A6" w:rsidRPr="00475EAB" w:rsidRDefault="003C5569" w:rsidP="00677517">
      <w:pPr>
        <w:pStyle w:val="berschrift1"/>
        <w:spacing w:before="240"/>
        <w:ind w:left="567" w:hanging="567"/>
        <w:jc w:val="both"/>
      </w:pPr>
      <w:r>
        <w:t xml:space="preserve">Technische und </w:t>
      </w:r>
      <w:r w:rsidR="003E03A6" w:rsidRPr="00475EAB">
        <w:t>organisatorische Maßnahmen</w:t>
      </w:r>
    </w:p>
    <w:p w14:paraId="016018B0" w14:textId="77777777" w:rsidR="003E03A6" w:rsidRPr="003E03A6" w:rsidRDefault="003E03A6" w:rsidP="00677517">
      <w:pPr>
        <w:numPr>
          <w:ilvl w:val="0"/>
          <w:numId w:val="14"/>
        </w:numPr>
        <w:spacing w:after="120" w:line="240" w:lineRule="auto"/>
        <w:jc w:val="both"/>
        <w:rPr>
          <w:szCs w:val="20"/>
        </w:rPr>
      </w:pPr>
      <w:r w:rsidRPr="003E03A6">
        <w:rPr>
          <w:szCs w:val="20"/>
        </w:rPr>
        <w:t>Der Auftragnehmer verpflichtet sich gegenüber dem Auftraggeber zur Einhaltung der technischen und organisatorischen Maßnahmen, die zur Einhaltung der anzuwendenden Datenschutzvorschriften erforderlich sind. Dies beinhaltet insbesondere die Vorgaben aus Art. 32 DSGVO.</w:t>
      </w:r>
    </w:p>
    <w:p w14:paraId="0D8D8DA0" w14:textId="590FB195" w:rsidR="00F1143B" w:rsidRDefault="003E03A6" w:rsidP="00677517">
      <w:pPr>
        <w:numPr>
          <w:ilvl w:val="0"/>
          <w:numId w:val="14"/>
        </w:numPr>
        <w:spacing w:after="120" w:line="240" w:lineRule="auto"/>
        <w:jc w:val="both"/>
        <w:rPr>
          <w:szCs w:val="20"/>
        </w:rPr>
      </w:pPr>
      <w:r w:rsidRPr="003E03A6">
        <w:rPr>
          <w:szCs w:val="20"/>
        </w:rPr>
        <w:t xml:space="preserve">Der zum Zeitpunkt des Vertragsschlusses bestehende Stand der technischen und organisatorischen Maßnahmen ist als </w:t>
      </w:r>
      <w:r w:rsidRPr="003E03A6">
        <w:rPr>
          <w:b/>
          <w:szCs w:val="20"/>
        </w:rPr>
        <w:t xml:space="preserve">Anlage </w:t>
      </w:r>
      <w:r>
        <w:rPr>
          <w:b/>
          <w:szCs w:val="20"/>
        </w:rPr>
        <w:t>2</w:t>
      </w:r>
      <w:r w:rsidRPr="003E03A6">
        <w:rPr>
          <w:szCs w:val="20"/>
        </w:rPr>
        <w:t xml:space="preserve"> zu diesem Vertrag beigefügt. Die Parteien sind sich darüber einig, dass zur Anpassung an technische und rechtliche Gegebenheiten Änderungen der technischen und organisatorischen Maßnahmen erforderlich werden können. Wesentliche Änderungen sind zu dokumentieren und dem Auftraggeber auf Anfrage zur Verfügung zu stellen. Der Auftraggeber ist jederzeit berechtigt, die getroffene Vereinba</w:t>
      </w:r>
      <w:r w:rsidR="003C5569">
        <w:rPr>
          <w:szCs w:val="20"/>
        </w:rPr>
        <w:t xml:space="preserve">rung hinsichtlich der technischen und </w:t>
      </w:r>
      <w:r w:rsidRPr="003E03A6">
        <w:rPr>
          <w:szCs w:val="20"/>
        </w:rPr>
        <w:t>organisatorischen Maßnahmen zu überprüfen oder diese durch einen sachverständigen Dritten überprüfen zu lassen.</w:t>
      </w:r>
    </w:p>
    <w:p w14:paraId="449D4E5F" w14:textId="0FE7CEA2" w:rsidR="00F1143B" w:rsidRPr="00F1143B" w:rsidRDefault="00F1143B" w:rsidP="00677517">
      <w:pPr>
        <w:pStyle w:val="berschrift1"/>
        <w:spacing w:before="240"/>
        <w:ind w:left="567" w:hanging="567"/>
        <w:jc w:val="both"/>
      </w:pPr>
      <w:r w:rsidRPr="00F1143B">
        <w:t>Dauer des Auftrags</w:t>
      </w:r>
    </w:p>
    <w:p w14:paraId="54005460" w14:textId="77777777" w:rsidR="00F1143B" w:rsidRDefault="00F1143B" w:rsidP="00677517">
      <w:pPr>
        <w:numPr>
          <w:ilvl w:val="0"/>
          <w:numId w:val="15"/>
        </w:numPr>
        <w:spacing w:after="120" w:line="240" w:lineRule="auto"/>
        <w:jc w:val="both"/>
        <w:rPr>
          <w:szCs w:val="20"/>
        </w:rPr>
      </w:pPr>
      <w:r w:rsidRPr="00F1143B">
        <w:rPr>
          <w:szCs w:val="20"/>
        </w:rPr>
        <w:t>Der Vertrag beginnt mit Unterzeichnung und läuft auf unbestimmte Zeit bzw. für die Dauer des zwischen den Parteien bestehenden Hauptvertrages über die Nutzung der Dienstleistungen des Auftragnehm</w:t>
      </w:r>
      <w:r>
        <w:rPr>
          <w:szCs w:val="20"/>
        </w:rPr>
        <w:t>ers durch den Auftraggeber.</w:t>
      </w:r>
    </w:p>
    <w:p w14:paraId="64D683B1" w14:textId="36AD8F94" w:rsidR="00F1143B" w:rsidRDefault="00F1143B" w:rsidP="00677517">
      <w:pPr>
        <w:numPr>
          <w:ilvl w:val="0"/>
          <w:numId w:val="15"/>
        </w:numPr>
        <w:spacing w:after="120" w:line="240" w:lineRule="auto"/>
        <w:jc w:val="both"/>
        <w:rPr>
          <w:szCs w:val="20"/>
        </w:rPr>
      </w:pPr>
      <w:r w:rsidRPr="00F1143B">
        <w:rPr>
          <w:szCs w:val="20"/>
        </w:rPr>
        <w:t>Der Auftraggeber kann den Vertrag jederzeit ohne Einhaltung einer Frist kündigen, wenn ein schwerwiegender Verstoß des Auftragnehmers gegen die anzuwendenden Datenschutzvorschriften oder gegen Pflichten aus diesem Vertrag vorliegt.</w:t>
      </w:r>
    </w:p>
    <w:p w14:paraId="671C52B8" w14:textId="3771ED05" w:rsidR="008B19CB" w:rsidRPr="004D7096" w:rsidRDefault="00F1143B" w:rsidP="00677517">
      <w:pPr>
        <w:pStyle w:val="berschrift1"/>
        <w:spacing w:before="240"/>
        <w:ind w:left="567" w:hanging="567"/>
        <w:jc w:val="both"/>
      </w:pPr>
      <w:r>
        <w:lastRenderedPageBreak/>
        <w:t>Beendigung</w:t>
      </w:r>
    </w:p>
    <w:p w14:paraId="38587018" w14:textId="061C2E6F" w:rsidR="0027198F" w:rsidRDefault="00F1143B" w:rsidP="00677517">
      <w:pPr>
        <w:spacing w:before="240" w:after="120" w:line="240" w:lineRule="auto"/>
        <w:ind w:left="567"/>
        <w:jc w:val="both"/>
        <w:rPr>
          <w:szCs w:val="20"/>
        </w:rPr>
      </w:pPr>
      <w:r w:rsidRPr="006578F0">
        <w:rPr>
          <w:szCs w:val="20"/>
        </w:rPr>
        <w:t xml:space="preserve">Nach Beendigung des Vertrages hat der Auftragnehmer sämtliche in seinen Besitz gelangten Unterlagen, Daten und erstellten Verarbeitungs- oder Nutzungsergebnisse, die im Zusammenhang mit dem Auftragsverhältnis stehen, nach Wahl des Auftraggebers an diesen zurückzugeben oder </w:t>
      </w:r>
      <w:r w:rsidR="007D547F">
        <w:rPr>
          <w:szCs w:val="20"/>
        </w:rPr>
        <w:t xml:space="preserve">datenschutzkonform </w:t>
      </w:r>
      <w:r w:rsidRPr="006578F0">
        <w:rPr>
          <w:szCs w:val="20"/>
        </w:rPr>
        <w:t>zu löschen. Die Löschung ist in geeigneter Weise zu dokumentieren. Etwaige gesetzliche Aufbewahrungspflichten oder sonstige Pflichten zur Speicherung der Daten bleiben unberührt.</w:t>
      </w:r>
    </w:p>
    <w:p w14:paraId="774A6F16" w14:textId="3385DEAF" w:rsidR="0027198F" w:rsidRDefault="0027198F" w:rsidP="00677517">
      <w:pPr>
        <w:pStyle w:val="berschrift1"/>
        <w:spacing w:before="240"/>
        <w:ind w:left="567" w:hanging="567"/>
        <w:jc w:val="both"/>
      </w:pPr>
      <w:r w:rsidRPr="0027198F">
        <w:t>Haftung und Schadenersatz</w:t>
      </w:r>
    </w:p>
    <w:p w14:paraId="006AB925" w14:textId="77777777" w:rsidR="0027198F" w:rsidRPr="0027198F" w:rsidRDefault="0027198F" w:rsidP="00677517">
      <w:pPr>
        <w:numPr>
          <w:ilvl w:val="0"/>
          <w:numId w:val="19"/>
        </w:numPr>
        <w:spacing w:after="120" w:line="240" w:lineRule="auto"/>
        <w:jc w:val="both"/>
        <w:rPr>
          <w:szCs w:val="20"/>
        </w:rPr>
      </w:pPr>
      <w:r w:rsidRPr="0027198F">
        <w:rPr>
          <w:szCs w:val="20"/>
        </w:rPr>
        <w:t>Auftraggeber und Auftragnehmer haften gegenüber betroffenen Personen entsprechend der in Art. 82 DSGVO getroffenen Regelung.</w:t>
      </w:r>
    </w:p>
    <w:p w14:paraId="0D9FCEEA" w14:textId="77777777" w:rsidR="0027198F" w:rsidRDefault="0027198F" w:rsidP="00677517">
      <w:pPr>
        <w:numPr>
          <w:ilvl w:val="0"/>
          <w:numId w:val="19"/>
        </w:numPr>
        <w:spacing w:after="120" w:line="240" w:lineRule="auto"/>
        <w:jc w:val="both"/>
        <w:rPr>
          <w:szCs w:val="20"/>
        </w:rPr>
      </w:pPr>
      <w:r w:rsidRPr="0027198F">
        <w:rPr>
          <w:szCs w:val="20"/>
        </w:rPr>
        <w:t>Macht eine betroffene Person gegenüber einer Partei Schadenersatzansprüche wegen Verstoßes gegen datenschutzrechtliche Bestimmungen geltend, so hat die beanspruchte Partei die andere Partei hierübe</w:t>
      </w:r>
      <w:r>
        <w:rPr>
          <w:szCs w:val="20"/>
        </w:rPr>
        <w:t>r unverzüglich zu informieren.</w:t>
      </w:r>
    </w:p>
    <w:p w14:paraId="75149FA5" w14:textId="46D19F5B" w:rsidR="0027198F" w:rsidRPr="0027198F" w:rsidRDefault="0027198F" w:rsidP="00677517">
      <w:pPr>
        <w:numPr>
          <w:ilvl w:val="0"/>
          <w:numId w:val="19"/>
        </w:numPr>
        <w:spacing w:after="120" w:line="240" w:lineRule="auto"/>
        <w:jc w:val="both"/>
        <w:rPr>
          <w:szCs w:val="20"/>
        </w:rPr>
      </w:pPr>
      <w:r w:rsidRPr="0027198F">
        <w:rPr>
          <w:szCs w:val="20"/>
        </w:rPr>
        <w:t>Die Parteien unterstützen sich wechselseitig bei der Abwehr von Schadenersatzansprüchen betroffener Personen, es sei denn, dies würde die Rechtsposition der einen Partei im Verhältnis zur anderen Partei oder zur Aufsichtsbehörde gefährden.</w:t>
      </w:r>
    </w:p>
    <w:p w14:paraId="4F129F35" w14:textId="77777777" w:rsidR="006474C6" w:rsidRPr="008047BB" w:rsidRDefault="006474C6" w:rsidP="00677517">
      <w:pPr>
        <w:pStyle w:val="berschrift1"/>
        <w:spacing w:before="240"/>
        <w:ind w:left="567" w:hanging="567"/>
        <w:jc w:val="both"/>
      </w:pPr>
      <w:r w:rsidRPr="008047BB">
        <w:t>Schlussbestimmungen</w:t>
      </w:r>
    </w:p>
    <w:p w14:paraId="1872A673" w14:textId="798D9D3B" w:rsidR="006474C6" w:rsidRPr="008047BB" w:rsidRDefault="006474C6" w:rsidP="00677517">
      <w:pPr>
        <w:numPr>
          <w:ilvl w:val="0"/>
          <w:numId w:val="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677517">
      <w:pPr>
        <w:numPr>
          <w:ilvl w:val="0"/>
          <w:numId w:val="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677517">
      <w:pPr>
        <w:numPr>
          <w:ilvl w:val="0"/>
          <w:numId w:val="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677517">
      <w:pPr>
        <w:numPr>
          <w:ilvl w:val="0"/>
          <w:numId w:val="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677517">
      <w:pPr>
        <w:numPr>
          <w:ilvl w:val="0"/>
          <w:numId w:val="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677517">
      <w:pPr>
        <w:numPr>
          <w:ilvl w:val="0"/>
          <w:numId w:val="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677517">
      <w:pPr>
        <w:numPr>
          <w:ilvl w:val="0"/>
          <w:numId w:val="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677517">
      <w:pPr>
        <w:pStyle w:val="text0"/>
        <w:spacing w:before="120" w:beforeAutospacing="0" w:after="120" w:afterAutospacing="0"/>
        <w:ind w:left="426" w:hanging="426"/>
        <w:jc w:val="both"/>
        <w:rPr>
          <w:rFonts w:ascii="Arial" w:hAnsi="Arial"/>
          <w:b/>
          <w:bCs/>
        </w:rPr>
      </w:pPr>
    </w:p>
    <w:p w14:paraId="4AA4C0C4" w14:textId="77777777" w:rsidR="009355C5" w:rsidRDefault="009355C5">
      <w:pPr>
        <w:spacing w:line="240" w:lineRule="auto"/>
        <w:rPr>
          <w:rFonts w:eastAsia="Arial Unicode MS" w:cs="Arial Unicode MS"/>
          <w:b/>
          <w:bCs/>
          <w:szCs w:val="20"/>
        </w:rPr>
      </w:pPr>
      <w:r>
        <w:rPr>
          <w:b/>
          <w:bCs/>
        </w:rPr>
        <w:br w:type="page"/>
      </w:r>
    </w:p>
    <w:p w14:paraId="0783E3C1" w14:textId="573C981F" w:rsidR="00743E7C" w:rsidRDefault="00F01841" w:rsidP="00677517">
      <w:pPr>
        <w:pStyle w:val="text0"/>
        <w:spacing w:before="120" w:beforeAutospacing="0" w:after="120" w:afterAutospacing="0"/>
        <w:ind w:left="426" w:hanging="426"/>
        <w:jc w:val="both"/>
        <w:rPr>
          <w:rFonts w:ascii="Arial" w:hAnsi="Arial"/>
          <w:b/>
          <w:bCs/>
        </w:rPr>
      </w:pPr>
      <w:r>
        <w:rPr>
          <w:rFonts w:ascii="Arial" w:hAnsi="Arial"/>
          <w:b/>
          <w:bCs/>
        </w:rPr>
        <w:lastRenderedPageBreak/>
        <w:t>Anlage 1</w:t>
      </w:r>
      <w:r w:rsidR="00E1601B">
        <w:rPr>
          <w:rFonts w:ascii="Arial" w:hAnsi="Arial"/>
          <w:b/>
          <w:bCs/>
        </w:rPr>
        <w:t xml:space="preserve">: </w:t>
      </w:r>
      <w:r w:rsidR="00160B4C" w:rsidRPr="00160B4C">
        <w:rPr>
          <w:rFonts w:ascii="Arial" w:hAnsi="Arial"/>
          <w:b/>
          <w:bCs/>
        </w:rPr>
        <w:t>Konkretisierung des Auftragsinhalts</w:t>
      </w:r>
    </w:p>
    <w:p w14:paraId="092CDB88" w14:textId="30750D95" w:rsidR="005B3C15" w:rsidRDefault="006474C6" w:rsidP="00677517">
      <w:pPr>
        <w:pStyle w:val="text0"/>
        <w:spacing w:before="120" w:beforeAutospacing="0" w:after="120" w:afterAutospacing="0"/>
        <w:ind w:left="993" w:hanging="993"/>
        <w:jc w:val="both"/>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160B4C" w:rsidRPr="00160B4C">
        <w:rPr>
          <w:rFonts w:ascii="Arial" w:hAnsi="Arial"/>
          <w:b/>
          <w:bCs/>
        </w:rPr>
        <w:t>Technische</w:t>
      </w:r>
      <w:r w:rsidR="00AF0E26">
        <w:rPr>
          <w:rFonts w:ascii="Arial" w:hAnsi="Arial"/>
          <w:b/>
          <w:bCs/>
        </w:rPr>
        <w:t xml:space="preserve"> und organisatorische Maßnahmen</w:t>
      </w:r>
    </w:p>
    <w:p w14:paraId="137F3F5C" w14:textId="6D7A1F13" w:rsidR="006474C6" w:rsidRPr="00E1601B" w:rsidRDefault="006474C6" w:rsidP="00677517">
      <w:pPr>
        <w:pStyle w:val="text0"/>
        <w:spacing w:before="120" w:beforeAutospacing="0" w:after="120" w:afterAutospacing="0"/>
        <w:jc w:val="both"/>
        <w:rPr>
          <w:rFonts w:cs="Times New Roman"/>
          <w:bCs/>
          <w:szCs w:val="24"/>
        </w:rPr>
      </w:pPr>
    </w:p>
    <w:p w14:paraId="13AE6FEF" w14:textId="77777777" w:rsidR="006474C6" w:rsidRDefault="006474C6" w:rsidP="00677517">
      <w:pPr>
        <w:pStyle w:val="text0"/>
        <w:spacing w:before="120" w:beforeAutospacing="0" w:after="120" w:afterAutospacing="0"/>
        <w:jc w:val="both"/>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677517">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tc>
        <w:bookmarkStart w:id="3" w:name="Text29"/>
        <w:tc>
          <w:tcPr>
            <w:tcW w:w="3960" w:type="dxa"/>
            <w:tcBorders>
              <w:bottom w:val="single" w:sz="4" w:space="0" w:color="auto"/>
            </w:tcBorders>
          </w:tcPr>
          <w:p w14:paraId="647A2C6F" w14:textId="77777777" w:rsidR="006474C6" w:rsidRDefault="006474C6" w:rsidP="00677517">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r>
      <w:tr w:rsidR="006474C6" w14:paraId="13AC597D" w14:textId="77777777" w:rsidTr="00CD1ACB">
        <w:tc>
          <w:tcPr>
            <w:tcW w:w="430" w:type="dxa"/>
          </w:tcPr>
          <w:p w14:paraId="439BE6C3" w14:textId="77777777" w:rsidR="006474C6" w:rsidRDefault="006474C6" w:rsidP="00677517">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677517">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677517">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677517">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bookmarkStart w:id="4" w:name="Text30"/>
          <w:p w14:paraId="14473CAB" w14:textId="77777777" w:rsidR="006474C6" w:rsidRDefault="006474C6" w:rsidP="00677517">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4"/>
          </w:p>
        </w:tc>
        <w:tc>
          <w:tcPr>
            <w:tcW w:w="720" w:type="dxa"/>
          </w:tcPr>
          <w:p w14:paraId="0BEF16E9"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bookmarkStart w:id="5" w:name="Text31"/>
          <w:p w14:paraId="572755AF" w14:textId="77777777" w:rsidR="006474C6" w:rsidRDefault="006474C6" w:rsidP="00677517">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5"/>
          </w:p>
        </w:tc>
      </w:tr>
      <w:tr w:rsidR="006474C6" w14:paraId="6CF73405" w14:textId="77777777" w:rsidTr="00CD1ACB">
        <w:tc>
          <w:tcPr>
            <w:tcW w:w="430" w:type="dxa"/>
          </w:tcPr>
          <w:p w14:paraId="2B04F2AD" w14:textId="77777777" w:rsidR="006474C6" w:rsidRDefault="006474C6" w:rsidP="00677517">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677517">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677517">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677517">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677517">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6D7CCE" w:rsidR="00441BDF" w:rsidRPr="009355C5" w:rsidRDefault="00441BDF" w:rsidP="00677517">
            <w:pPr>
              <w:spacing w:before="60" w:after="60"/>
              <w:jc w:val="both"/>
              <w:rPr>
                <w:rFonts w:cs="Arial"/>
                <w:sz w:val="16"/>
                <w:szCs w:val="16"/>
              </w:rPr>
            </w:pPr>
            <w:r w:rsidRPr="009355C5">
              <w:rPr>
                <w:rFonts w:cs="Arial"/>
                <w:sz w:val="16"/>
                <w:szCs w:val="16"/>
              </w:rPr>
              <w:t xml:space="preserve">Mathias Heese / </w:t>
            </w:r>
            <w:r w:rsidR="00183AB2" w:rsidRPr="009355C5">
              <w:rPr>
                <w:rFonts w:cs="Arial"/>
                <w:sz w:val="16"/>
                <w:szCs w:val="16"/>
              </w:rPr>
              <w:t>CEO</w:t>
            </w:r>
          </w:p>
          <w:p w14:paraId="2D663D35" w14:textId="2B59D8FB" w:rsidR="00441BDF" w:rsidRPr="009355C5" w:rsidRDefault="00441BDF" w:rsidP="00677517">
            <w:pPr>
              <w:spacing w:before="60" w:after="60"/>
              <w:jc w:val="both"/>
              <w:rPr>
                <w:rFonts w:cs="Arial"/>
                <w:sz w:val="16"/>
                <w:szCs w:val="16"/>
              </w:rPr>
            </w:pPr>
            <w:r w:rsidRPr="009355C5">
              <w:rPr>
                <w:rFonts w:cs="Arial"/>
                <w:sz w:val="16"/>
                <w:szCs w:val="16"/>
              </w:rPr>
              <w:t xml:space="preserve">Martin Behrend / </w:t>
            </w:r>
            <w:r w:rsidR="00183AB2" w:rsidRPr="009355C5">
              <w:rPr>
                <w:rFonts w:cs="Arial"/>
                <w:sz w:val="16"/>
                <w:szCs w:val="16"/>
              </w:rPr>
              <w:t>CFO</w:t>
            </w:r>
          </w:p>
          <w:p w14:paraId="33FF8752" w14:textId="77777777" w:rsidR="006474C6" w:rsidRPr="00366C88" w:rsidRDefault="00A62C9B" w:rsidP="00677517">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677517">
      <w:pPr>
        <w:pStyle w:val="text0"/>
        <w:spacing w:before="120" w:beforeAutospacing="0" w:after="120" w:afterAutospacing="0"/>
        <w:jc w:val="both"/>
        <w:rPr>
          <w:rFonts w:cs="Arial"/>
        </w:rPr>
      </w:pPr>
    </w:p>
    <w:sectPr w:rsidR="006474C6" w:rsidSect="00F22853">
      <w:headerReference w:type="even" r:id="rId8"/>
      <w:headerReference w:type="default" r:id="rId9"/>
      <w:footerReference w:type="even" r:id="rId10"/>
      <w:footerReference w:type="default" r:id="rId11"/>
      <w:headerReference w:type="first" r:id="rId12"/>
      <w:footerReference w:type="first" r:id="rId13"/>
      <w:pgSz w:w="11911" w:h="16832" w:code="9"/>
      <w:pgMar w:top="1741"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126D" w14:textId="77777777" w:rsidR="008F2457" w:rsidRDefault="008F2457">
      <w:r>
        <w:separator/>
      </w:r>
    </w:p>
  </w:endnote>
  <w:endnote w:type="continuationSeparator" w:id="0">
    <w:p w14:paraId="5FF068B5" w14:textId="77777777" w:rsidR="008F2457" w:rsidRDefault="008F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altName w:val="Calibri"/>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Universal-NewswithCommPi">
    <w:altName w:val="Calibri"/>
    <w:panose1 w:val="020B0604020202020204"/>
    <w:charset w:val="4D"/>
    <w:family w:val="auto"/>
    <w:notTrueType/>
    <w:pitch w:val="default"/>
    <w:sig w:usb0="00000003" w:usb1="00000000" w:usb2="00000000" w:usb3="00000000" w:csb0="00000001" w:csb1="00000000"/>
  </w:font>
  <w:font w:name="FrutigerLT-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2188" w14:textId="77777777" w:rsidR="0024637C" w:rsidRDefault="002463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70" w:type="dxa"/>
        <w:right w:w="70" w:type="dxa"/>
      </w:tblCellMar>
      <w:tblLook w:val="0000" w:firstRow="0" w:lastRow="0" w:firstColumn="0" w:lastColumn="0" w:noHBand="0" w:noVBand="0"/>
    </w:tblPr>
    <w:tblGrid>
      <w:gridCol w:w="4820"/>
      <w:gridCol w:w="3260"/>
      <w:gridCol w:w="1276"/>
    </w:tblGrid>
    <w:tr w:rsidR="00A24365" w:rsidRPr="002F4DE8" w14:paraId="25E43A5F" w14:textId="77777777" w:rsidTr="0024637C">
      <w:trPr>
        <w:cantSplit/>
        <w:trHeight w:val="268"/>
      </w:trPr>
      <w:tc>
        <w:tcPr>
          <w:tcW w:w="4820" w:type="dxa"/>
          <w:vAlign w:val="center"/>
        </w:tcPr>
        <w:p w14:paraId="7733A184" w14:textId="7C112ECC" w:rsidR="00A24365" w:rsidRPr="0074594C" w:rsidRDefault="00A24365" w:rsidP="00A24365">
          <w:pPr>
            <w:tabs>
              <w:tab w:val="center" w:pos="426"/>
            </w:tabs>
            <w:rPr>
              <w:sz w:val="18"/>
              <w:szCs w:val="18"/>
            </w:rPr>
          </w:pPr>
          <w:r w:rsidRPr="00165D77">
            <w:rPr>
              <w:sz w:val="18"/>
              <w:szCs w:val="18"/>
            </w:rPr>
            <w:t>Vertrag zur Datenverarbeitung im Auftrag</w:t>
          </w:r>
        </w:p>
      </w:tc>
      <w:tc>
        <w:tcPr>
          <w:tcW w:w="3260" w:type="dxa"/>
          <w:vAlign w:val="center"/>
        </w:tcPr>
        <w:p w14:paraId="5CCC60A8" w14:textId="3C5880BC" w:rsidR="00A24365" w:rsidRPr="00716E0B" w:rsidRDefault="00A24365" w:rsidP="00A24365">
          <w:pPr>
            <w:tabs>
              <w:tab w:val="center" w:pos="426"/>
            </w:tabs>
            <w:rPr>
              <w:sz w:val="18"/>
              <w:szCs w:val="18"/>
            </w:rPr>
          </w:pPr>
          <w:r w:rsidRPr="00165D77">
            <w:rPr>
              <w:sz w:val="18"/>
              <w:szCs w:val="18"/>
            </w:rPr>
            <w:tab/>
          </w:r>
          <w:proofErr w:type="spellStart"/>
          <w:r w:rsidRPr="00165D77">
            <w:rPr>
              <w:sz w:val="18"/>
              <w:szCs w:val="18"/>
            </w:rPr>
            <w:t>Rev</w:t>
          </w:r>
          <w:proofErr w:type="spellEnd"/>
          <w:r w:rsidRPr="00165D77">
            <w:rPr>
              <w:sz w:val="18"/>
              <w:szCs w:val="18"/>
            </w:rPr>
            <w:t xml:space="preserve">. </w:t>
          </w:r>
          <w:r w:rsidRPr="00165D77">
            <w:rPr>
              <w:sz w:val="18"/>
              <w:szCs w:val="18"/>
            </w:rPr>
            <w:t>1.</w:t>
          </w:r>
          <w:r>
            <w:rPr>
              <w:sz w:val="18"/>
              <w:szCs w:val="18"/>
            </w:rPr>
            <w:t>5.3</w:t>
          </w:r>
          <w:r w:rsidR="0024637C">
            <w:rPr>
              <w:sz w:val="18"/>
              <w:szCs w:val="18"/>
            </w:rPr>
            <w:t>.1</w:t>
          </w:r>
          <w:r>
            <w:rPr>
              <w:sz w:val="18"/>
              <w:szCs w:val="18"/>
            </w:rPr>
            <w:t xml:space="preserve"> gültig ab</w:t>
          </w:r>
          <w:r w:rsidRPr="00165D77">
            <w:rPr>
              <w:sz w:val="18"/>
              <w:szCs w:val="18"/>
            </w:rPr>
            <w:t xml:space="preserve"> </w:t>
          </w:r>
          <w:r w:rsidR="0024637C">
            <w:rPr>
              <w:sz w:val="18"/>
              <w:szCs w:val="18"/>
            </w:rPr>
            <w:t>23</w:t>
          </w:r>
          <w:r>
            <w:rPr>
              <w:sz w:val="18"/>
              <w:szCs w:val="18"/>
            </w:rPr>
            <w:t>.02.</w:t>
          </w:r>
          <w:r w:rsidRPr="00165D77">
            <w:rPr>
              <w:sz w:val="18"/>
              <w:szCs w:val="18"/>
            </w:rPr>
            <w:t>20</w:t>
          </w:r>
          <w:r>
            <w:rPr>
              <w:sz w:val="18"/>
              <w:szCs w:val="18"/>
            </w:rPr>
            <w:t>21</w:t>
          </w:r>
        </w:p>
      </w:tc>
      <w:tc>
        <w:tcPr>
          <w:tcW w:w="1276" w:type="dxa"/>
          <w:vAlign w:val="center"/>
        </w:tcPr>
        <w:p w14:paraId="12C8369F" w14:textId="731A8E27" w:rsidR="00A24365" w:rsidRPr="00716E0B" w:rsidRDefault="00A24365" w:rsidP="00A24365">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noProof/>
              <w:sz w:val="18"/>
              <w:szCs w:val="18"/>
            </w:rPr>
            <w:t>6</w:t>
          </w:r>
          <w:r w:rsidRPr="00716E0B">
            <w:rPr>
              <w:sz w:val="18"/>
              <w:szCs w:val="18"/>
            </w:rPr>
            <w:fldChar w:fldCharType="end"/>
          </w:r>
        </w:p>
      </w:tc>
    </w:tr>
  </w:tbl>
  <w:p w14:paraId="3FA0025D" w14:textId="77777777" w:rsidR="00036FD0" w:rsidRDefault="00036FD0" w:rsidP="00DF0E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46523863"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4B4422">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BE5B" w14:textId="77777777" w:rsidR="008F2457" w:rsidRDefault="008F2457">
      <w:r>
        <w:separator/>
      </w:r>
    </w:p>
  </w:footnote>
  <w:footnote w:type="continuationSeparator" w:id="0">
    <w:p w14:paraId="1D0A73B6" w14:textId="77777777" w:rsidR="008F2457" w:rsidRDefault="008F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038B" w14:textId="77777777" w:rsidR="0024637C" w:rsidRDefault="00246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61C72"/>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12D77E64"/>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6FC6744"/>
    <w:multiLevelType w:val="hybridMultilevel"/>
    <w:tmpl w:val="4AB6906E"/>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4463A"/>
    <w:multiLevelType w:val="hybridMultilevel"/>
    <w:tmpl w:val="C9787F6E"/>
    <w:lvl w:ilvl="0" w:tplc="7CE0163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3E0720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CD3192"/>
    <w:multiLevelType w:val="hybridMultilevel"/>
    <w:tmpl w:val="E174B096"/>
    <w:lvl w:ilvl="0" w:tplc="7CE0163E">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A2A17"/>
    <w:multiLevelType w:val="hybridMultilevel"/>
    <w:tmpl w:val="CA801882"/>
    <w:lvl w:ilvl="0" w:tplc="7CE0163E">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1622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D26642"/>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1A3FF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6" w15:restartNumberingAfterBreak="0">
    <w:nsid w:val="6E045A3B"/>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DA5DD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E565E8"/>
    <w:multiLevelType w:val="hybridMultilevel"/>
    <w:tmpl w:val="4AB6906E"/>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F6047D"/>
    <w:multiLevelType w:val="hybridMultilevel"/>
    <w:tmpl w:val="EF985446"/>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B610197"/>
    <w:multiLevelType w:val="hybridMultilevel"/>
    <w:tmpl w:val="4AB6906E"/>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FE40B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16490C"/>
    <w:multiLevelType w:val="hybridMultilevel"/>
    <w:tmpl w:val="78C4812E"/>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9"/>
  </w:num>
  <w:num w:numId="5">
    <w:abstractNumId w:val="0"/>
  </w:num>
  <w:num w:numId="6">
    <w:abstractNumId w:val="14"/>
  </w:num>
  <w:num w:numId="7">
    <w:abstractNumId w:val="21"/>
  </w:num>
  <w:num w:numId="8">
    <w:abstractNumId w:val="4"/>
  </w:num>
  <w:num w:numId="9">
    <w:abstractNumId w:val="5"/>
  </w:num>
  <w:num w:numId="10">
    <w:abstractNumId w:val="18"/>
  </w:num>
  <w:num w:numId="11">
    <w:abstractNumId w:val="12"/>
  </w:num>
  <w:num w:numId="12">
    <w:abstractNumId w:val="16"/>
  </w:num>
  <w:num w:numId="13">
    <w:abstractNumId w:val="22"/>
  </w:num>
  <w:num w:numId="14">
    <w:abstractNumId w:val="10"/>
  </w:num>
  <w:num w:numId="15">
    <w:abstractNumId w:val="11"/>
  </w:num>
  <w:num w:numId="16">
    <w:abstractNumId w:val="2"/>
  </w:num>
  <w:num w:numId="17">
    <w:abstractNumId w:val="1"/>
  </w:num>
  <w:num w:numId="18">
    <w:abstractNumId w:val="19"/>
  </w:num>
  <w:num w:numId="19">
    <w:abstractNumId w:val="17"/>
  </w:num>
  <w:num w:numId="20">
    <w:abstractNumId w:val="8"/>
  </w:num>
  <w:num w:numId="21">
    <w:abstractNumId w:val="6"/>
  </w:num>
  <w:num w:numId="22">
    <w:abstractNumId w:val="3"/>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1D2"/>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359D"/>
    <w:rsid w:val="000740E5"/>
    <w:rsid w:val="00082FFF"/>
    <w:rsid w:val="00083ED6"/>
    <w:rsid w:val="0008736C"/>
    <w:rsid w:val="00092F70"/>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5DE9"/>
    <w:rsid w:val="000C796D"/>
    <w:rsid w:val="000D3054"/>
    <w:rsid w:val="000D66DB"/>
    <w:rsid w:val="000D76C9"/>
    <w:rsid w:val="000E097C"/>
    <w:rsid w:val="000E27C1"/>
    <w:rsid w:val="000E3A72"/>
    <w:rsid w:val="000E6E0C"/>
    <w:rsid w:val="000F050E"/>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5F7"/>
    <w:rsid w:val="00136684"/>
    <w:rsid w:val="001414D4"/>
    <w:rsid w:val="001531EA"/>
    <w:rsid w:val="00156292"/>
    <w:rsid w:val="00160B4C"/>
    <w:rsid w:val="0016462D"/>
    <w:rsid w:val="00165D77"/>
    <w:rsid w:val="001705E2"/>
    <w:rsid w:val="00171536"/>
    <w:rsid w:val="0017367F"/>
    <w:rsid w:val="00173EAE"/>
    <w:rsid w:val="001744C7"/>
    <w:rsid w:val="00176C9A"/>
    <w:rsid w:val="00183AB2"/>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02B5"/>
    <w:rsid w:val="00224A92"/>
    <w:rsid w:val="002325B8"/>
    <w:rsid w:val="002338F1"/>
    <w:rsid w:val="0024377D"/>
    <w:rsid w:val="0024637C"/>
    <w:rsid w:val="002529DD"/>
    <w:rsid w:val="00256C28"/>
    <w:rsid w:val="002717BC"/>
    <w:rsid w:val="0027198F"/>
    <w:rsid w:val="00277260"/>
    <w:rsid w:val="00281E57"/>
    <w:rsid w:val="00282D48"/>
    <w:rsid w:val="00284D7B"/>
    <w:rsid w:val="00286886"/>
    <w:rsid w:val="0029051C"/>
    <w:rsid w:val="0029522C"/>
    <w:rsid w:val="00295896"/>
    <w:rsid w:val="002968F6"/>
    <w:rsid w:val="00297314"/>
    <w:rsid w:val="002A1651"/>
    <w:rsid w:val="002A302F"/>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4869"/>
    <w:rsid w:val="0032488E"/>
    <w:rsid w:val="00325EA1"/>
    <w:rsid w:val="00326378"/>
    <w:rsid w:val="00326F72"/>
    <w:rsid w:val="0033014C"/>
    <w:rsid w:val="00336AB4"/>
    <w:rsid w:val="003409AD"/>
    <w:rsid w:val="00343AAF"/>
    <w:rsid w:val="003443F6"/>
    <w:rsid w:val="00344CD7"/>
    <w:rsid w:val="00345C8C"/>
    <w:rsid w:val="003559C2"/>
    <w:rsid w:val="00357C9B"/>
    <w:rsid w:val="0036204D"/>
    <w:rsid w:val="003628F4"/>
    <w:rsid w:val="00366C88"/>
    <w:rsid w:val="0036787B"/>
    <w:rsid w:val="00367DFE"/>
    <w:rsid w:val="003716A6"/>
    <w:rsid w:val="003734C7"/>
    <w:rsid w:val="003750C1"/>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C5569"/>
    <w:rsid w:val="003D03DE"/>
    <w:rsid w:val="003D22B2"/>
    <w:rsid w:val="003D2F65"/>
    <w:rsid w:val="003D31F6"/>
    <w:rsid w:val="003D3D00"/>
    <w:rsid w:val="003D3D7B"/>
    <w:rsid w:val="003E03A6"/>
    <w:rsid w:val="003E10C3"/>
    <w:rsid w:val="003E1EC6"/>
    <w:rsid w:val="003E27EF"/>
    <w:rsid w:val="003E7032"/>
    <w:rsid w:val="003F5797"/>
    <w:rsid w:val="003F5FBE"/>
    <w:rsid w:val="00401B94"/>
    <w:rsid w:val="004063FF"/>
    <w:rsid w:val="0040731D"/>
    <w:rsid w:val="00411A91"/>
    <w:rsid w:val="004120AA"/>
    <w:rsid w:val="00413BF5"/>
    <w:rsid w:val="00416DC5"/>
    <w:rsid w:val="00420B9A"/>
    <w:rsid w:val="004225AE"/>
    <w:rsid w:val="00425726"/>
    <w:rsid w:val="0043099B"/>
    <w:rsid w:val="00431CE0"/>
    <w:rsid w:val="00441BDF"/>
    <w:rsid w:val="0044320B"/>
    <w:rsid w:val="00443633"/>
    <w:rsid w:val="00452D3D"/>
    <w:rsid w:val="00453179"/>
    <w:rsid w:val="00456035"/>
    <w:rsid w:val="00456AB8"/>
    <w:rsid w:val="00456CD3"/>
    <w:rsid w:val="00457E47"/>
    <w:rsid w:val="0046097D"/>
    <w:rsid w:val="00460FB5"/>
    <w:rsid w:val="004616B0"/>
    <w:rsid w:val="00461915"/>
    <w:rsid w:val="004622C0"/>
    <w:rsid w:val="00472E61"/>
    <w:rsid w:val="004747F2"/>
    <w:rsid w:val="00475EAB"/>
    <w:rsid w:val="00480BB7"/>
    <w:rsid w:val="004817D9"/>
    <w:rsid w:val="00487555"/>
    <w:rsid w:val="00487703"/>
    <w:rsid w:val="004912FA"/>
    <w:rsid w:val="00493131"/>
    <w:rsid w:val="004941D4"/>
    <w:rsid w:val="004B1290"/>
    <w:rsid w:val="004B1F8A"/>
    <w:rsid w:val="004B32D1"/>
    <w:rsid w:val="004B4422"/>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7E7"/>
    <w:rsid w:val="00511AB9"/>
    <w:rsid w:val="005133AB"/>
    <w:rsid w:val="00522600"/>
    <w:rsid w:val="0053130F"/>
    <w:rsid w:val="005319A5"/>
    <w:rsid w:val="005435C1"/>
    <w:rsid w:val="0054571E"/>
    <w:rsid w:val="00552064"/>
    <w:rsid w:val="00554F93"/>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E7B24"/>
    <w:rsid w:val="005F0201"/>
    <w:rsid w:val="005F2F96"/>
    <w:rsid w:val="005F3C98"/>
    <w:rsid w:val="005F4DB4"/>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7751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59B8"/>
    <w:rsid w:val="00706942"/>
    <w:rsid w:val="00706E8D"/>
    <w:rsid w:val="00713FA8"/>
    <w:rsid w:val="007167A3"/>
    <w:rsid w:val="00725D2C"/>
    <w:rsid w:val="007275DC"/>
    <w:rsid w:val="0073794B"/>
    <w:rsid w:val="007429E3"/>
    <w:rsid w:val="00743E7C"/>
    <w:rsid w:val="00744EBC"/>
    <w:rsid w:val="0074594C"/>
    <w:rsid w:val="00746F12"/>
    <w:rsid w:val="00747EC6"/>
    <w:rsid w:val="00753ADB"/>
    <w:rsid w:val="00755798"/>
    <w:rsid w:val="00761253"/>
    <w:rsid w:val="00762F96"/>
    <w:rsid w:val="00766C82"/>
    <w:rsid w:val="00766F21"/>
    <w:rsid w:val="00770901"/>
    <w:rsid w:val="0077681D"/>
    <w:rsid w:val="0078159A"/>
    <w:rsid w:val="00782E37"/>
    <w:rsid w:val="00792DD0"/>
    <w:rsid w:val="0079685A"/>
    <w:rsid w:val="007A0A53"/>
    <w:rsid w:val="007A158E"/>
    <w:rsid w:val="007A37D0"/>
    <w:rsid w:val="007B7303"/>
    <w:rsid w:val="007C0249"/>
    <w:rsid w:val="007C2AAF"/>
    <w:rsid w:val="007C5547"/>
    <w:rsid w:val="007C7B7E"/>
    <w:rsid w:val="007C7E32"/>
    <w:rsid w:val="007D48C4"/>
    <w:rsid w:val="007D547F"/>
    <w:rsid w:val="007E0921"/>
    <w:rsid w:val="007E2E00"/>
    <w:rsid w:val="007E5CE2"/>
    <w:rsid w:val="007E66BB"/>
    <w:rsid w:val="007F5178"/>
    <w:rsid w:val="00800BEB"/>
    <w:rsid w:val="00802A2D"/>
    <w:rsid w:val="00802D24"/>
    <w:rsid w:val="008047BB"/>
    <w:rsid w:val="0080607A"/>
    <w:rsid w:val="008067B5"/>
    <w:rsid w:val="0081203E"/>
    <w:rsid w:val="00813720"/>
    <w:rsid w:val="0081712C"/>
    <w:rsid w:val="00817687"/>
    <w:rsid w:val="00817E60"/>
    <w:rsid w:val="008210B0"/>
    <w:rsid w:val="00825957"/>
    <w:rsid w:val="00826064"/>
    <w:rsid w:val="0082645B"/>
    <w:rsid w:val="0082699F"/>
    <w:rsid w:val="00830097"/>
    <w:rsid w:val="00830AD6"/>
    <w:rsid w:val="00832292"/>
    <w:rsid w:val="008328A4"/>
    <w:rsid w:val="00833697"/>
    <w:rsid w:val="008348B5"/>
    <w:rsid w:val="008354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5C13"/>
    <w:rsid w:val="008D7B69"/>
    <w:rsid w:val="008E0994"/>
    <w:rsid w:val="008E5BD5"/>
    <w:rsid w:val="008E6E33"/>
    <w:rsid w:val="008F2457"/>
    <w:rsid w:val="008F4D2C"/>
    <w:rsid w:val="008F6F63"/>
    <w:rsid w:val="00910682"/>
    <w:rsid w:val="00910805"/>
    <w:rsid w:val="00911377"/>
    <w:rsid w:val="00912CE4"/>
    <w:rsid w:val="00913FA6"/>
    <w:rsid w:val="009166D4"/>
    <w:rsid w:val="00922370"/>
    <w:rsid w:val="00923552"/>
    <w:rsid w:val="009252DC"/>
    <w:rsid w:val="00925F7B"/>
    <w:rsid w:val="00927601"/>
    <w:rsid w:val="009355C5"/>
    <w:rsid w:val="00936018"/>
    <w:rsid w:val="009414A4"/>
    <w:rsid w:val="009420D2"/>
    <w:rsid w:val="00943E6A"/>
    <w:rsid w:val="009469C5"/>
    <w:rsid w:val="00953B67"/>
    <w:rsid w:val="00961161"/>
    <w:rsid w:val="009639C6"/>
    <w:rsid w:val="0096524C"/>
    <w:rsid w:val="009656AA"/>
    <w:rsid w:val="009746AB"/>
    <w:rsid w:val="0097505A"/>
    <w:rsid w:val="009756A6"/>
    <w:rsid w:val="009757D0"/>
    <w:rsid w:val="00976DC7"/>
    <w:rsid w:val="00980794"/>
    <w:rsid w:val="009816B7"/>
    <w:rsid w:val="009827A7"/>
    <w:rsid w:val="009A0F6B"/>
    <w:rsid w:val="009A2B85"/>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408"/>
    <w:rsid w:val="009F0F44"/>
    <w:rsid w:val="009F3850"/>
    <w:rsid w:val="009F3F88"/>
    <w:rsid w:val="00A0148B"/>
    <w:rsid w:val="00A0166C"/>
    <w:rsid w:val="00A063FF"/>
    <w:rsid w:val="00A12D77"/>
    <w:rsid w:val="00A157F8"/>
    <w:rsid w:val="00A16097"/>
    <w:rsid w:val="00A215C3"/>
    <w:rsid w:val="00A24365"/>
    <w:rsid w:val="00A246C0"/>
    <w:rsid w:val="00A24C81"/>
    <w:rsid w:val="00A24D45"/>
    <w:rsid w:val="00A25605"/>
    <w:rsid w:val="00A27059"/>
    <w:rsid w:val="00A30BCA"/>
    <w:rsid w:val="00A314DE"/>
    <w:rsid w:val="00A3403E"/>
    <w:rsid w:val="00A3478A"/>
    <w:rsid w:val="00A34D0C"/>
    <w:rsid w:val="00A35673"/>
    <w:rsid w:val="00A43456"/>
    <w:rsid w:val="00A450A9"/>
    <w:rsid w:val="00A450EA"/>
    <w:rsid w:val="00A46F1D"/>
    <w:rsid w:val="00A47219"/>
    <w:rsid w:val="00A53166"/>
    <w:rsid w:val="00A57383"/>
    <w:rsid w:val="00A62C9B"/>
    <w:rsid w:val="00A62FD5"/>
    <w:rsid w:val="00A673CE"/>
    <w:rsid w:val="00A71BDA"/>
    <w:rsid w:val="00A7458E"/>
    <w:rsid w:val="00A773E5"/>
    <w:rsid w:val="00A77D8E"/>
    <w:rsid w:val="00A8246F"/>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0E26"/>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09A3"/>
    <w:rsid w:val="00B61F5F"/>
    <w:rsid w:val="00B72FE8"/>
    <w:rsid w:val="00B7319D"/>
    <w:rsid w:val="00B73438"/>
    <w:rsid w:val="00B75C9D"/>
    <w:rsid w:val="00B764EF"/>
    <w:rsid w:val="00B80023"/>
    <w:rsid w:val="00B84BD4"/>
    <w:rsid w:val="00B850D9"/>
    <w:rsid w:val="00B86D4C"/>
    <w:rsid w:val="00B903BD"/>
    <w:rsid w:val="00B90484"/>
    <w:rsid w:val="00B93691"/>
    <w:rsid w:val="00BA2610"/>
    <w:rsid w:val="00BA3388"/>
    <w:rsid w:val="00BA6905"/>
    <w:rsid w:val="00BB550E"/>
    <w:rsid w:val="00BC2E63"/>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4570"/>
    <w:rsid w:val="00C352B4"/>
    <w:rsid w:val="00C353CF"/>
    <w:rsid w:val="00C41782"/>
    <w:rsid w:val="00C4248D"/>
    <w:rsid w:val="00C43B01"/>
    <w:rsid w:val="00C45DBE"/>
    <w:rsid w:val="00C54563"/>
    <w:rsid w:val="00C616EB"/>
    <w:rsid w:val="00C633FA"/>
    <w:rsid w:val="00C65EC0"/>
    <w:rsid w:val="00C66BFB"/>
    <w:rsid w:val="00C70E10"/>
    <w:rsid w:val="00C738BC"/>
    <w:rsid w:val="00C753C7"/>
    <w:rsid w:val="00C75F8E"/>
    <w:rsid w:val="00C76C86"/>
    <w:rsid w:val="00C77CED"/>
    <w:rsid w:val="00C77EDD"/>
    <w:rsid w:val="00C86872"/>
    <w:rsid w:val="00C87F20"/>
    <w:rsid w:val="00C908B4"/>
    <w:rsid w:val="00C9280E"/>
    <w:rsid w:val="00C934EA"/>
    <w:rsid w:val="00C95D57"/>
    <w:rsid w:val="00CA0BAC"/>
    <w:rsid w:val="00CA257D"/>
    <w:rsid w:val="00CA3949"/>
    <w:rsid w:val="00CA70AF"/>
    <w:rsid w:val="00CB239D"/>
    <w:rsid w:val="00CB447F"/>
    <w:rsid w:val="00CB7D17"/>
    <w:rsid w:val="00CC0D21"/>
    <w:rsid w:val="00CC4F7E"/>
    <w:rsid w:val="00CC54C5"/>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57B8C"/>
    <w:rsid w:val="00D61676"/>
    <w:rsid w:val="00D6295D"/>
    <w:rsid w:val="00D635BA"/>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6BD"/>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17BA7"/>
    <w:rsid w:val="00E2015E"/>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246A"/>
    <w:rsid w:val="00EB320F"/>
    <w:rsid w:val="00EB3895"/>
    <w:rsid w:val="00EB59FB"/>
    <w:rsid w:val="00EC168F"/>
    <w:rsid w:val="00EC1A59"/>
    <w:rsid w:val="00EC3314"/>
    <w:rsid w:val="00EC3BEC"/>
    <w:rsid w:val="00EC5094"/>
    <w:rsid w:val="00EC624C"/>
    <w:rsid w:val="00EE0EAD"/>
    <w:rsid w:val="00EE1FA2"/>
    <w:rsid w:val="00EE3BD5"/>
    <w:rsid w:val="00EF1EFF"/>
    <w:rsid w:val="00EF627A"/>
    <w:rsid w:val="00F01841"/>
    <w:rsid w:val="00F01B61"/>
    <w:rsid w:val="00F1143B"/>
    <w:rsid w:val="00F13AD8"/>
    <w:rsid w:val="00F20480"/>
    <w:rsid w:val="00F206BD"/>
    <w:rsid w:val="00F22853"/>
    <w:rsid w:val="00F24AF1"/>
    <w:rsid w:val="00F44028"/>
    <w:rsid w:val="00F46591"/>
    <w:rsid w:val="00F516D3"/>
    <w:rsid w:val="00F523A9"/>
    <w:rsid w:val="00F541D6"/>
    <w:rsid w:val="00F56B2B"/>
    <w:rsid w:val="00F57ACB"/>
    <w:rsid w:val="00F60301"/>
    <w:rsid w:val="00F6090C"/>
    <w:rsid w:val="00F6212B"/>
    <w:rsid w:val="00F66547"/>
    <w:rsid w:val="00F66B56"/>
    <w:rsid w:val="00F741D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356E"/>
    <w:rsid w:val="00FB553F"/>
    <w:rsid w:val="00FB6DA6"/>
    <w:rsid w:val="00FC0BC0"/>
    <w:rsid w:val="00FC3FE7"/>
    <w:rsid w:val="00FC4A49"/>
    <w:rsid w:val="00FC502B"/>
    <w:rsid w:val="00FC5C51"/>
    <w:rsid w:val="00FC656D"/>
    <w:rsid w:val="00FC6EA4"/>
    <w:rsid w:val="00FD230D"/>
    <w:rsid w:val="00FD5CFC"/>
    <w:rsid w:val="00FD6126"/>
    <w:rsid w:val="00FE2E79"/>
    <w:rsid w:val="00FF2E5A"/>
    <w:rsid w:val="00FF37FB"/>
    <w:rsid w:val="00FF3A67"/>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3"/>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qFormat/>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qFormat/>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qFormat/>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 w:type="paragraph" w:customStyle="1" w:styleId="Paragraph">
    <w:name w:val="Paragraph"/>
    <w:basedOn w:val="Standard"/>
    <w:uiPriority w:val="1"/>
    <w:qFormat/>
    <w:rsid w:val="008067B5"/>
    <w:pPr>
      <w:suppressAutoHyphens/>
      <w:spacing w:line="260" w:lineRule="atLeast"/>
    </w:pPr>
    <w:rPr>
      <w:rFonts w:eastAsia="Arial" w:cs="Arial"/>
      <w:color w:val="000000"/>
      <w:sz w:val="22"/>
      <w:szCs w:val="22"/>
      <w:lang w:bidi="de-DE"/>
      <w14:ligatures w14:val="standardContextual"/>
    </w:rPr>
  </w:style>
  <w:style w:type="character" w:styleId="Fett">
    <w:name w:val="Strong"/>
    <w:uiPriority w:val="2"/>
    <w:qFormat/>
    <w:locked/>
    <w:rsid w:val="008067B5"/>
    <w:rPr>
      <w:rFonts w:ascii="Cambria" w:eastAsia="Cambria" w:hAnsi="Cambria" w:cs="Cambria"/>
      <w:b/>
    </w:rPr>
  </w:style>
  <w:style w:type="paragraph" w:customStyle="1" w:styleId="Aufzhlung">
    <w:name w:val="Aufzählung"/>
    <w:basedOn w:val="Standard"/>
    <w:uiPriority w:val="1"/>
    <w:qFormat/>
    <w:rsid w:val="00F13AD8"/>
    <w:pPr>
      <w:spacing w:line="260" w:lineRule="atLeast"/>
    </w:pPr>
    <w:rPr>
      <w:rFonts w:eastAsia="Cambria" w:cs="Cambria"/>
      <w:color w:val="000000"/>
      <w:sz w:val="22"/>
      <w:szCs w:val="22"/>
      <w:lang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CD24-90A0-4362-A0F8-6CA284AC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15228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D68245252227; T67003152762; D68634437527; D68825966486; A70493170593; D70509691380; T70493146098; D70744149439; D70932876529; D70933132174; D71089695594; D72383600074</cp:keywords>
  <dc:description>Version 1.0.</dc:description>
  <cp:lastModifiedBy>Andreas Kaster</cp:lastModifiedBy>
  <cp:revision>21</cp:revision>
  <cp:lastPrinted>2019-11-13T14:00:00Z</cp:lastPrinted>
  <dcterms:created xsi:type="dcterms:W3CDTF">2019-12-02T11:50:00Z</dcterms:created>
  <dcterms:modified xsi:type="dcterms:W3CDTF">2021-02-23T06:08:00Z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