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769B3" w14:textId="77777777" w:rsidR="00786911" w:rsidRDefault="00786911" w:rsidP="00786911">
      <w:pPr>
        <w:pStyle w:val="LexisNexisList2"/>
        <w:numPr>
          <w:ilvl w:val="0"/>
          <w:numId w:val="0"/>
        </w:numPr>
        <w:jc w:val="both"/>
        <w:rPr>
          <w:rStyle w:val="Heading2Char"/>
          <w:rFonts w:eastAsia="Calibri"/>
          <w:b w:val="0"/>
          <w:iCs/>
        </w:rPr>
      </w:pPr>
    </w:p>
    <w:p w14:paraId="21C11FD3" w14:textId="77777777" w:rsidR="00786911" w:rsidRDefault="00786911" w:rsidP="00786911">
      <w:pPr>
        <w:pStyle w:val="LexisNexisList2"/>
        <w:numPr>
          <w:ilvl w:val="0"/>
          <w:numId w:val="0"/>
        </w:numPr>
        <w:jc w:val="center"/>
        <w:rPr>
          <w:rStyle w:val="Heading2Char"/>
          <w:rFonts w:eastAsia="Calibri"/>
          <w:b w:val="0"/>
          <w:iCs/>
        </w:rPr>
      </w:pPr>
      <w:r>
        <w:rPr>
          <w:rStyle w:val="Heading2Char"/>
          <w:rFonts w:eastAsia="Calibri"/>
          <w:b w:val="0"/>
          <w:iCs/>
        </w:rPr>
        <w:t>SOME PPP LOAN LANGUAGE SAMPLES</w:t>
      </w:r>
    </w:p>
    <w:p w14:paraId="25808E6C" w14:textId="26F1B533" w:rsidR="00786911" w:rsidRPr="00786911" w:rsidRDefault="00786911" w:rsidP="00786911">
      <w:pPr>
        <w:pStyle w:val="LexisNexisList2"/>
        <w:numPr>
          <w:ilvl w:val="0"/>
          <w:numId w:val="0"/>
        </w:numPr>
        <w:jc w:val="both"/>
        <w:rPr>
          <w:rStyle w:val="Heading2Char"/>
          <w:rFonts w:eastAsia="Calibri"/>
          <w:b w:val="0"/>
          <w:iCs/>
        </w:rPr>
      </w:pPr>
      <w:r w:rsidRPr="00786911">
        <w:rPr>
          <w:rStyle w:val="Heading2Char"/>
          <w:rFonts w:eastAsia="Calibri"/>
          <w:b w:val="0"/>
          <w:iCs/>
        </w:rPr>
        <w:t xml:space="preserve">The following are </w:t>
      </w:r>
      <w:r>
        <w:rPr>
          <w:rStyle w:val="Heading2Char"/>
          <w:rFonts w:eastAsia="Calibri"/>
          <w:b w:val="0"/>
          <w:iCs/>
        </w:rPr>
        <w:t xml:space="preserve">samples of </w:t>
      </w:r>
      <w:r w:rsidRPr="00786911">
        <w:rPr>
          <w:rStyle w:val="Heading2Char"/>
          <w:rFonts w:eastAsia="Calibri"/>
          <w:b w:val="0"/>
          <w:iCs/>
        </w:rPr>
        <w:t xml:space="preserve">recent </w:t>
      </w:r>
      <w:r>
        <w:rPr>
          <w:rStyle w:val="Heading2Char"/>
          <w:rFonts w:eastAsia="Calibri"/>
          <w:b w:val="0"/>
          <w:iCs/>
        </w:rPr>
        <w:t xml:space="preserve">purchase agreement </w:t>
      </w:r>
      <w:r w:rsidRPr="00786911">
        <w:rPr>
          <w:rStyle w:val="Heading2Char"/>
          <w:rFonts w:eastAsia="Calibri"/>
          <w:b w:val="0"/>
          <w:iCs/>
        </w:rPr>
        <w:t>provisions drafted by attorneys concerning</w:t>
      </w:r>
      <w:r>
        <w:rPr>
          <w:rStyle w:val="Heading2Char"/>
          <w:rFonts w:eastAsia="Calibri"/>
          <w:b w:val="0"/>
          <w:iCs/>
        </w:rPr>
        <w:t xml:space="preserve"> PPP loans. </w:t>
      </w:r>
      <w:r w:rsidRPr="00786911">
        <w:rPr>
          <w:rStyle w:val="Heading2Char"/>
          <w:rFonts w:eastAsia="Calibri"/>
          <w:b w:val="0"/>
          <w:i/>
        </w:rPr>
        <w:t>Benchmark International does not express any opinion about these clauses other than that they are representative of the PPP loan related terms being proposed by buyers</w:t>
      </w:r>
      <w:r>
        <w:rPr>
          <w:rStyle w:val="Heading2Char"/>
          <w:rFonts w:eastAsia="Calibri"/>
          <w:b w:val="0"/>
          <w:i/>
        </w:rPr>
        <w:t>’ counsel</w:t>
      </w:r>
      <w:r w:rsidRPr="00786911">
        <w:rPr>
          <w:rStyle w:val="Heading2Char"/>
          <w:rFonts w:eastAsia="Calibri"/>
          <w:b w:val="0"/>
          <w:i/>
        </w:rPr>
        <w:t xml:space="preserve"> in their first drafts. Consult legal counsel prior to drafting, editing, or accepting any contractual language.</w:t>
      </w:r>
      <w:r>
        <w:rPr>
          <w:rStyle w:val="Heading2Char"/>
          <w:rFonts w:eastAsia="Calibri"/>
          <w:b w:val="0"/>
          <w:iCs/>
        </w:rPr>
        <w:t xml:space="preserve"> </w:t>
      </w:r>
    </w:p>
    <w:p w14:paraId="79174428" w14:textId="75B0A2DA" w:rsidR="00B4148B" w:rsidRPr="00786911" w:rsidRDefault="00B4148B" w:rsidP="00786911">
      <w:pPr>
        <w:pStyle w:val="LexisNexisList2"/>
        <w:numPr>
          <w:ilvl w:val="0"/>
          <w:numId w:val="0"/>
        </w:numPr>
        <w:rPr>
          <w:rStyle w:val="Heading2Char"/>
          <w:rFonts w:eastAsia="Calibri"/>
          <w:b w:val="0"/>
          <w:iCs/>
        </w:rPr>
      </w:pPr>
      <w:r>
        <w:rPr>
          <w:rStyle w:val="Heading2Char"/>
          <w:rFonts w:eastAsia="Calibri"/>
          <w:bCs w:val="0"/>
          <w:iCs/>
        </w:rPr>
        <w:t xml:space="preserve">From a </w:t>
      </w:r>
      <w:r w:rsidR="00493B9C">
        <w:rPr>
          <w:rStyle w:val="Heading2Char"/>
          <w:rFonts w:eastAsia="Calibri"/>
          <w:bCs w:val="0"/>
          <w:iCs/>
        </w:rPr>
        <w:t>s</w:t>
      </w:r>
      <w:r>
        <w:rPr>
          <w:rStyle w:val="Heading2Char"/>
          <w:rFonts w:eastAsia="Calibri"/>
          <w:bCs w:val="0"/>
          <w:iCs/>
        </w:rPr>
        <w:t xml:space="preserve">tock </w:t>
      </w:r>
      <w:r w:rsidR="00493B9C">
        <w:rPr>
          <w:rStyle w:val="Heading2Char"/>
          <w:rFonts w:eastAsia="Calibri"/>
          <w:bCs w:val="0"/>
          <w:iCs/>
        </w:rPr>
        <w:t>p</w:t>
      </w:r>
      <w:r>
        <w:rPr>
          <w:rStyle w:val="Heading2Char"/>
          <w:rFonts w:eastAsia="Calibri"/>
          <w:bCs w:val="0"/>
          <w:iCs/>
        </w:rPr>
        <w:t xml:space="preserve">urchase </w:t>
      </w:r>
      <w:r w:rsidR="00493B9C">
        <w:rPr>
          <w:rStyle w:val="Heading2Char"/>
          <w:rFonts w:eastAsia="Calibri"/>
          <w:bCs w:val="0"/>
          <w:iCs/>
        </w:rPr>
        <w:t>a</w:t>
      </w:r>
      <w:r>
        <w:rPr>
          <w:rStyle w:val="Heading2Char"/>
          <w:rFonts w:eastAsia="Calibri"/>
          <w:bCs w:val="0"/>
          <w:iCs/>
        </w:rPr>
        <w:t xml:space="preserve">greement – </w:t>
      </w:r>
      <w:r w:rsidR="00786911" w:rsidRPr="00786911">
        <w:rPr>
          <w:rStyle w:val="Heading2Char"/>
          <w:rFonts w:eastAsia="Calibri"/>
          <w:b w:val="0"/>
          <w:iCs/>
        </w:rPr>
        <w:t>this is t</w:t>
      </w:r>
      <w:r w:rsidRPr="00786911">
        <w:rPr>
          <w:rStyle w:val="Heading2Char"/>
          <w:rFonts w:eastAsia="Calibri"/>
          <w:b w:val="0"/>
          <w:iCs/>
        </w:rPr>
        <w:t xml:space="preserve">ypical </w:t>
      </w:r>
      <w:r w:rsidR="00786911">
        <w:rPr>
          <w:rStyle w:val="Heading2Char"/>
          <w:rFonts w:eastAsia="Calibri"/>
          <w:b w:val="0"/>
          <w:iCs/>
        </w:rPr>
        <w:t>of the r</w:t>
      </w:r>
      <w:r w:rsidRPr="00786911">
        <w:rPr>
          <w:rStyle w:val="Heading2Char"/>
          <w:rFonts w:eastAsia="Calibri"/>
          <w:b w:val="0"/>
          <w:iCs/>
        </w:rPr>
        <w:t xml:space="preserve">epresentation and warranty </w:t>
      </w:r>
      <w:r w:rsidR="00786911">
        <w:rPr>
          <w:rStyle w:val="Heading2Char"/>
          <w:rFonts w:eastAsia="Calibri"/>
          <w:b w:val="0"/>
          <w:iCs/>
        </w:rPr>
        <w:t xml:space="preserve">being </w:t>
      </w:r>
      <w:r w:rsidRPr="00786911">
        <w:rPr>
          <w:rStyle w:val="Heading2Char"/>
          <w:rFonts w:eastAsia="Calibri"/>
          <w:b w:val="0"/>
          <w:iCs/>
        </w:rPr>
        <w:t>requested by buyer</w:t>
      </w:r>
      <w:r w:rsidR="00786911">
        <w:rPr>
          <w:rStyle w:val="Heading2Char"/>
          <w:rFonts w:eastAsia="Calibri"/>
          <w:b w:val="0"/>
          <w:iCs/>
        </w:rPr>
        <w:t>s on the succinct end of the spectrum:</w:t>
      </w:r>
    </w:p>
    <w:p w14:paraId="3964490C" w14:textId="2F98A427" w:rsidR="00B4148B" w:rsidRPr="00B4148B" w:rsidRDefault="00B4148B" w:rsidP="00786911">
      <w:pPr>
        <w:pStyle w:val="LexisNexisList2"/>
        <w:numPr>
          <w:ilvl w:val="0"/>
          <w:numId w:val="0"/>
        </w:numPr>
        <w:ind w:left="720" w:right="720"/>
        <w:jc w:val="both"/>
        <w:rPr>
          <w:rStyle w:val="Heading2Char"/>
          <w:rFonts w:eastAsia="Calibri"/>
          <w:b w:val="0"/>
          <w:i/>
          <w:iCs/>
        </w:rPr>
      </w:pPr>
      <w:r>
        <w:rPr>
          <w:rStyle w:val="Heading2Char"/>
          <w:rFonts w:eastAsia="Calibri"/>
          <w:bCs w:val="0"/>
          <w:iCs/>
        </w:rPr>
        <w:t xml:space="preserve">Payment Protection Program Loan.  </w:t>
      </w:r>
      <w:r w:rsidRPr="00B4148B">
        <w:rPr>
          <w:rStyle w:val="Heading2Char"/>
          <w:rFonts w:eastAsia="Calibri"/>
          <w:b w:val="0"/>
          <w:bCs w:val="0"/>
          <w:iCs/>
        </w:rPr>
        <w:t>The Company asserts that it has received s</w:t>
      </w:r>
      <w:r w:rsidR="00786911">
        <w:rPr>
          <w:rStyle w:val="Heading2Char"/>
          <w:rFonts w:eastAsia="Calibri"/>
          <w:b w:val="0"/>
          <w:bCs w:val="0"/>
          <w:iCs/>
        </w:rPr>
        <w:t>even</w:t>
      </w:r>
      <w:r w:rsidRPr="00B4148B">
        <w:rPr>
          <w:rStyle w:val="Heading2Char"/>
          <w:rFonts w:eastAsia="Calibri"/>
          <w:b w:val="0"/>
          <w:bCs w:val="0"/>
          <w:iCs/>
        </w:rPr>
        <w:t xml:space="preserve"> hundred thousand dollars ($</w:t>
      </w:r>
      <w:r w:rsidR="00786911">
        <w:rPr>
          <w:rStyle w:val="Heading2Char"/>
          <w:rFonts w:eastAsia="Calibri"/>
          <w:b w:val="0"/>
          <w:bCs w:val="0"/>
          <w:iCs/>
        </w:rPr>
        <w:t>7</w:t>
      </w:r>
      <w:r w:rsidRPr="00B4148B">
        <w:rPr>
          <w:rStyle w:val="Heading2Char"/>
          <w:rFonts w:eastAsia="Calibri"/>
          <w:b w:val="0"/>
          <w:bCs w:val="0"/>
          <w:iCs/>
        </w:rPr>
        <w:t xml:space="preserve">00,000) in funds as a loan from the federal government as part of the Payment Protection Program (“PPP”) under Section 1106 of the Coronavirus Aid, Relief, and Economic Security Act (CARES Act).  The Company, Seller, and Buyer acknowledge that these funds are eligible for loan forgiveness or partial loan forgiveness if certain requirements are met within the Paycheck Protection Program Interim Final Rules.  The Company and Sellers have provided and included the PPP loan documents, including SBA Form 3508, </w:t>
      </w:r>
      <w:proofErr w:type="spellStart"/>
      <w:r w:rsidRPr="00B4148B">
        <w:rPr>
          <w:rStyle w:val="Heading2Char"/>
          <w:rFonts w:eastAsia="Calibri"/>
          <w:b w:val="0"/>
          <w:bCs w:val="0"/>
          <w:iCs/>
        </w:rPr>
        <w:t>3508EZ</w:t>
      </w:r>
      <w:proofErr w:type="spellEnd"/>
      <w:r w:rsidRPr="00B4148B">
        <w:rPr>
          <w:rStyle w:val="Heading2Char"/>
          <w:rFonts w:eastAsia="Calibri"/>
          <w:b w:val="0"/>
          <w:bCs w:val="0"/>
          <w:iCs/>
        </w:rPr>
        <w:t xml:space="preserve">, and assert that the Company </w:t>
      </w:r>
      <w:proofErr w:type="gramStart"/>
      <w:r w:rsidRPr="00B4148B">
        <w:rPr>
          <w:rStyle w:val="Heading2Char"/>
          <w:rFonts w:eastAsia="Calibri"/>
          <w:b w:val="0"/>
          <w:bCs w:val="0"/>
          <w:iCs/>
        </w:rPr>
        <w:t>is in compliance with</w:t>
      </w:r>
      <w:proofErr w:type="gramEnd"/>
      <w:r w:rsidRPr="00B4148B">
        <w:rPr>
          <w:rStyle w:val="Heading2Char"/>
          <w:rFonts w:eastAsia="Calibri"/>
          <w:b w:val="0"/>
          <w:bCs w:val="0"/>
          <w:iCs/>
        </w:rPr>
        <w:t xml:space="preserve"> all requirements for loan forgiveness through the Closing Date.  Additional information and details about the PPP loan are included in the Disclosure Statement.</w:t>
      </w:r>
      <w:r>
        <w:rPr>
          <w:rStyle w:val="Heading2Char"/>
          <w:rFonts w:eastAsia="Calibri"/>
          <w:iCs/>
        </w:rPr>
        <w:t xml:space="preserve">  </w:t>
      </w:r>
    </w:p>
    <w:p w14:paraId="50EEC9D2" w14:textId="20A554CF" w:rsidR="00786911" w:rsidRPr="00786911" w:rsidRDefault="00786911" w:rsidP="00786911">
      <w:pPr>
        <w:pStyle w:val="LexisNexisList2"/>
        <w:numPr>
          <w:ilvl w:val="0"/>
          <w:numId w:val="0"/>
        </w:numPr>
        <w:rPr>
          <w:rStyle w:val="Heading2Char"/>
          <w:rFonts w:eastAsia="Calibri"/>
          <w:b w:val="0"/>
          <w:iCs/>
        </w:rPr>
      </w:pPr>
      <w:r>
        <w:rPr>
          <w:rStyle w:val="Heading2Char"/>
          <w:rFonts w:eastAsia="Calibri"/>
          <w:bCs w:val="0"/>
          <w:iCs/>
        </w:rPr>
        <w:t xml:space="preserve">From a </w:t>
      </w:r>
      <w:r w:rsidR="00493B9C">
        <w:rPr>
          <w:rStyle w:val="Heading2Char"/>
          <w:rFonts w:eastAsia="Calibri"/>
          <w:bCs w:val="0"/>
          <w:iCs/>
        </w:rPr>
        <w:t>m</w:t>
      </w:r>
      <w:r>
        <w:rPr>
          <w:rStyle w:val="Heading2Char"/>
          <w:rFonts w:eastAsia="Calibri"/>
          <w:bCs w:val="0"/>
          <w:iCs/>
        </w:rPr>
        <w:t xml:space="preserve">embership </w:t>
      </w:r>
      <w:r w:rsidR="00493B9C">
        <w:rPr>
          <w:rStyle w:val="Heading2Char"/>
          <w:rFonts w:eastAsia="Calibri"/>
          <w:bCs w:val="0"/>
          <w:iCs/>
        </w:rPr>
        <w:t>i</w:t>
      </w:r>
      <w:r>
        <w:rPr>
          <w:rStyle w:val="Heading2Char"/>
          <w:rFonts w:eastAsia="Calibri"/>
          <w:bCs w:val="0"/>
          <w:iCs/>
        </w:rPr>
        <w:t xml:space="preserve">nterest </w:t>
      </w:r>
      <w:r w:rsidR="00493B9C">
        <w:rPr>
          <w:rStyle w:val="Heading2Char"/>
          <w:rFonts w:eastAsia="Calibri"/>
          <w:bCs w:val="0"/>
          <w:iCs/>
        </w:rPr>
        <w:t>p</w:t>
      </w:r>
      <w:r>
        <w:rPr>
          <w:rStyle w:val="Heading2Char"/>
          <w:rFonts w:eastAsia="Calibri"/>
          <w:bCs w:val="0"/>
          <w:iCs/>
        </w:rPr>
        <w:t>urchase</w:t>
      </w:r>
      <w:r>
        <w:rPr>
          <w:rStyle w:val="Heading2Char"/>
          <w:rFonts w:eastAsia="Calibri"/>
          <w:bCs w:val="0"/>
          <w:iCs/>
        </w:rPr>
        <w:t xml:space="preserve"> </w:t>
      </w:r>
      <w:r w:rsidR="00493B9C">
        <w:rPr>
          <w:rStyle w:val="Heading2Char"/>
          <w:rFonts w:eastAsia="Calibri"/>
          <w:bCs w:val="0"/>
          <w:iCs/>
        </w:rPr>
        <w:t>a</w:t>
      </w:r>
      <w:r>
        <w:rPr>
          <w:rStyle w:val="Heading2Char"/>
          <w:rFonts w:eastAsia="Calibri"/>
          <w:bCs w:val="0"/>
          <w:iCs/>
        </w:rPr>
        <w:t xml:space="preserve">greement – </w:t>
      </w:r>
      <w:r w:rsidRPr="00786911">
        <w:rPr>
          <w:rStyle w:val="Heading2Char"/>
          <w:rFonts w:eastAsia="Calibri"/>
          <w:b w:val="0"/>
          <w:iCs/>
        </w:rPr>
        <w:t xml:space="preserve">this is typical </w:t>
      </w:r>
      <w:r>
        <w:rPr>
          <w:rStyle w:val="Heading2Char"/>
          <w:rFonts w:eastAsia="Calibri"/>
          <w:b w:val="0"/>
          <w:iCs/>
        </w:rPr>
        <w:t>of the r</w:t>
      </w:r>
      <w:r w:rsidRPr="00786911">
        <w:rPr>
          <w:rStyle w:val="Heading2Char"/>
          <w:rFonts w:eastAsia="Calibri"/>
          <w:b w:val="0"/>
          <w:iCs/>
        </w:rPr>
        <w:t xml:space="preserve">epresentation and warranty </w:t>
      </w:r>
      <w:r>
        <w:rPr>
          <w:rStyle w:val="Heading2Char"/>
          <w:rFonts w:eastAsia="Calibri"/>
          <w:b w:val="0"/>
          <w:iCs/>
        </w:rPr>
        <w:t xml:space="preserve">being </w:t>
      </w:r>
      <w:r w:rsidRPr="00786911">
        <w:rPr>
          <w:rStyle w:val="Heading2Char"/>
          <w:rFonts w:eastAsia="Calibri"/>
          <w:b w:val="0"/>
          <w:iCs/>
        </w:rPr>
        <w:t>requested by buyer</w:t>
      </w:r>
      <w:r>
        <w:rPr>
          <w:rStyle w:val="Heading2Char"/>
          <w:rFonts w:eastAsia="Calibri"/>
          <w:b w:val="0"/>
          <w:iCs/>
        </w:rPr>
        <w:t xml:space="preserve">s on the </w:t>
      </w:r>
      <w:r>
        <w:rPr>
          <w:rStyle w:val="Heading2Char"/>
          <w:rFonts w:eastAsia="Calibri"/>
          <w:b w:val="0"/>
          <w:iCs/>
        </w:rPr>
        <w:t>detailed</w:t>
      </w:r>
      <w:r>
        <w:rPr>
          <w:rStyle w:val="Heading2Char"/>
          <w:rFonts w:eastAsia="Calibri"/>
          <w:b w:val="0"/>
          <w:iCs/>
        </w:rPr>
        <w:t xml:space="preserve"> end</w:t>
      </w:r>
      <w:r>
        <w:rPr>
          <w:rStyle w:val="Heading2Char"/>
          <w:rFonts w:eastAsia="Calibri"/>
          <w:b w:val="0"/>
          <w:iCs/>
        </w:rPr>
        <w:t xml:space="preserve"> of the spectrum</w:t>
      </w:r>
      <w:r>
        <w:rPr>
          <w:rStyle w:val="Heading2Char"/>
          <w:rFonts w:eastAsia="Calibri"/>
          <w:b w:val="0"/>
          <w:iCs/>
        </w:rPr>
        <w:t>:</w:t>
      </w:r>
    </w:p>
    <w:p w14:paraId="41D40CBF" w14:textId="77777777" w:rsidR="00786911" w:rsidRDefault="00786911" w:rsidP="00786911">
      <w:pPr>
        <w:pStyle w:val="ArticleL2"/>
        <w:keepLines w:val="0"/>
        <w:numPr>
          <w:ilvl w:val="0"/>
          <w:numId w:val="0"/>
        </w:numPr>
        <w:ind w:left="706" w:right="720"/>
        <w:jc w:val="both"/>
      </w:pPr>
      <w:r w:rsidRPr="00D642ED">
        <w:rPr>
          <w:b/>
          <w:bCs/>
          <w:u w:val="single"/>
        </w:rPr>
        <w:t>PPP Loan</w:t>
      </w:r>
      <w:r>
        <w:t>.</w:t>
      </w:r>
      <w:r>
        <w:tab/>
        <w:t>The Company has obtained a “Paycheck Protection Program” loan through the U.S. Small Business Administration (the “</w:t>
      </w:r>
      <w:r w:rsidRPr="00D642ED">
        <w:rPr>
          <w:b/>
          <w:bCs/>
          <w:i/>
          <w:iCs/>
        </w:rPr>
        <w:t>PPP Loan</w:t>
      </w:r>
      <w:r>
        <w:t xml:space="preserve">”) under the CARES Act. At the time of application, and at the time the PPP Loan was funded, the Company satisfied and the Company continues to satisfy all of the applicable criteria for the PPP Loan set forth in the Small Business Act (15 U.S.C. 636(a)) and the CARES Act (based on applicable Law, including any official public guidance of the relevant Governmental Body on the CARES Act, existing as of the date of submission of the Company’s application for the PPP Loan), [including, that (a) the uncertainty of current ‎economic conditions make the PPP Loan necessary to support the ongoing operations of the Company,] (b) the proceeds of the PPP Loan will be used solely for CARES Act Permitted Purposes, ‎‎(c) the Company does not have an application pending for a loan under subsection 7(a) of the ‎Small Business Act or the CARES Act for the same purposes and duplicative of amounts applied ‎for or received under the PPP Loan, and (d) during the period beginning on February 15, 2020 ‎and ending on the date hereof, the Company has not received amounts under subsection 7(a) of the ‎Small Business Act for the same purpose and duplicative of amounts applied for or received under ‎the PPP Loan. The application materials and supporting documentation with respect to the PPP Loan delivered by the Company to the financial institutions providing the PPP Loan were true and correct in all material respects. The loan forgiveness application materials and supporting documentation with respect to the PPP Loan delivered by the Company to the </w:t>
      </w:r>
      <w:r>
        <w:lastRenderedPageBreak/>
        <w:t xml:space="preserve">financial institutions providing the PPP Loan were true and correct in all material respects. </w:t>
      </w:r>
    </w:p>
    <w:p w14:paraId="354AB249" w14:textId="1B9AF0C6" w:rsidR="00786911" w:rsidRPr="00786911" w:rsidRDefault="00786911" w:rsidP="00786911">
      <w:pPr>
        <w:pStyle w:val="LexisNexisList2"/>
        <w:numPr>
          <w:ilvl w:val="0"/>
          <w:numId w:val="0"/>
        </w:numPr>
        <w:rPr>
          <w:rStyle w:val="Heading2Char"/>
          <w:rFonts w:eastAsia="Calibri"/>
          <w:b w:val="0"/>
          <w:i/>
          <w:iCs/>
        </w:rPr>
      </w:pPr>
      <w:r>
        <w:rPr>
          <w:rStyle w:val="Heading2Char"/>
          <w:rFonts w:eastAsia="Calibri"/>
          <w:bCs w:val="0"/>
          <w:iCs/>
        </w:rPr>
        <w:t xml:space="preserve">From a </w:t>
      </w:r>
      <w:r w:rsidR="00493B9C">
        <w:rPr>
          <w:rStyle w:val="Heading2Char"/>
          <w:rFonts w:eastAsia="Calibri"/>
          <w:bCs w:val="0"/>
          <w:iCs/>
        </w:rPr>
        <w:t>m</w:t>
      </w:r>
      <w:r>
        <w:rPr>
          <w:rStyle w:val="Heading2Char"/>
          <w:rFonts w:eastAsia="Calibri"/>
          <w:bCs w:val="0"/>
          <w:iCs/>
        </w:rPr>
        <w:t xml:space="preserve">embership </w:t>
      </w:r>
      <w:r w:rsidR="00493B9C">
        <w:rPr>
          <w:rStyle w:val="Heading2Char"/>
          <w:rFonts w:eastAsia="Calibri"/>
          <w:bCs w:val="0"/>
          <w:iCs/>
        </w:rPr>
        <w:t>i</w:t>
      </w:r>
      <w:r>
        <w:rPr>
          <w:rStyle w:val="Heading2Char"/>
          <w:rFonts w:eastAsia="Calibri"/>
          <w:bCs w:val="0"/>
          <w:iCs/>
        </w:rPr>
        <w:t xml:space="preserve">nterest </w:t>
      </w:r>
      <w:r w:rsidR="00493B9C">
        <w:rPr>
          <w:rStyle w:val="Heading2Char"/>
          <w:rFonts w:eastAsia="Calibri"/>
          <w:bCs w:val="0"/>
          <w:iCs/>
        </w:rPr>
        <w:t>p</w:t>
      </w:r>
      <w:r>
        <w:rPr>
          <w:rStyle w:val="Heading2Char"/>
          <w:rFonts w:eastAsia="Calibri"/>
          <w:bCs w:val="0"/>
          <w:iCs/>
        </w:rPr>
        <w:t xml:space="preserve">urchase </w:t>
      </w:r>
      <w:r w:rsidR="00493B9C">
        <w:rPr>
          <w:rStyle w:val="Heading2Char"/>
          <w:rFonts w:eastAsia="Calibri"/>
          <w:bCs w:val="0"/>
          <w:iCs/>
        </w:rPr>
        <w:t>a</w:t>
      </w:r>
      <w:r>
        <w:rPr>
          <w:rStyle w:val="Heading2Char"/>
          <w:rFonts w:eastAsia="Calibri"/>
          <w:bCs w:val="0"/>
          <w:iCs/>
        </w:rPr>
        <w:t xml:space="preserve">greement </w:t>
      </w:r>
      <w:r w:rsidRPr="00786911">
        <w:rPr>
          <w:rStyle w:val="Heading2Char"/>
          <w:rFonts w:eastAsia="Calibri"/>
          <w:b w:val="0"/>
          <w:iCs/>
        </w:rPr>
        <w:t>–</w:t>
      </w:r>
      <w:r w:rsidRPr="00786911">
        <w:rPr>
          <w:rStyle w:val="Heading2Char"/>
          <w:rFonts w:eastAsia="Calibri"/>
          <w:b w:val="0"/>
          <w:iCs/>
        </w:rPr>
        <w:t xml:space="preserve"> typical language setting up the escrow</w:t>
      </w:r>
      <w:r>
        <w:rPr>
          <w:rStyle w:val="Heading2Char"/>
          <w:rFonts w:eastAsia="Calibri"/>
          <w:b w:val="0"/>
          <w:iCs/>
        </w:rPr>
        <w:t xml:space="preserve"> in the closing mechanics section of the purchase agreement</w:t>
      </w:r>
    </w:p>
    <w:p w14:paraId="005ECB3C" w14:textId="568BA3B3" w:rsidR="00B4148B" w:rsidRDefault="00B4148B" w:rsidP="00786911">
      <w:pPr>
        <w:pStyle w:val="ArticleL4"/>
        <w:keepLines w:val="0"/>
        <w:widowControl w:val="0"/>
        <w:numPr>
          <w:ilvl w:val="0"/>
          <w:numId w:val="0"/>
        </w:numPr>
        <w:spacing w:before="0"/>
        <w:ind w:left="720" w:right="720"/>
        <w:jc w:val="both"/>
      </w:pPr>
      <w:bookmarkStart w:id="0" w:name="_Ref168882831"/>
      <w:r>
        <w:t xml:space="preserve">The </w:t>
      </w:r>
      <w:r w:rsidRPr="003E057B">
        <w:t xml:space="preserve">Buyer </w:t>
      </w:r>
      <w:r>
        <w:t>shall deposit (a) $350,000 (the “</w:t>
      </w:r>
      <w:r w:rsidRPr="00CB749C">
        <w:rPr>
          <w:b/>
          <w:bCs/>
          <w:i/>
          <w:iCs/>
        </w:rPr>
        <w:t>Indemnity Escrow Amount</w:t>
      </w:r>
      <w:r>
        <w:t xml:space="preserve">”) </w:t>
      </w:r>
      <w:r w:rsidRPr="003E057B">
        <w:t>by wire transfer of immediately available funds</w:t>
      </w:r>
      <w:r>
        <w:t xml:space="preserve"> into a separate escrow account (the “</w:t>
      </w:r>
      <w:r w:rsidRPr="00CB749C">
        <w:rPr>
          <w:b/>
          <w:bCs/>
          <w:i/>
          <w:iCs/>
        </w:rPr>
        <w:t>Indemnity Escrow Account</w:t>
      </w:r>
      <w:r>
        <w:t>”)</w:t>
      </w:r>
      <w:r>
        <w:rPr>
          <w:rStyle w:val="FootnoteReference"/>
        </w:rPr>
        <w:footnoteReference w:id="1"/>
      </w:r>
      <w:r>
        <w:t xml:space="preserve"> and (b) </w:t>
      </w:r>
      <w:r w:rsidRPr="00CB749C">
        <w:t>$</w:t>
      </w:r>
      <w:r w:rsidR="005457F0">
        <w:t>4</w:t>
      </w:r>
      <w:r w:rsidRPr="00CB749C">
        <w:t>5</w:t>
      </w:r>
      <w:r w:rsidR="005457F0">
        <w:t>7</w:t>
      </w:r>
      <w:r w:rsidRPr="00CB749C">
        <w:t>,57</w:t>
      </w:r>
      <w:r w:rsidR="005457F0">
        <w:t>9</w:t>
      </w:r>
      <w:r w:rsidRPr="00CB749C">
        <w:t xml:space="preserve">.15 </w:t>
      </w:r>
      <w:r>
        <w:t>(the “</w:t>
      </w:r>
      <w:r w:rsidRPr="00CB749C">
        <w:rPr>
          <w:b/>
          <w:bCs/>
          <w:i/>
          <w:iCs/>
        </w:rPr>
        <w:t>PPP Escrow Amount</w:t>
      </w:r>
      <w:r>
        <w:t xml:space="preserve">”) </w:t>
      </w:r>
      <w:r w:rsidRPr="00CB749C">
        <w:t>by wire transfer of immediately available funds into a</w:t>
      </w:r>
      <w:r>
        <w:t xml:space="preserve"> separate </w:t>
      </w:r>
      <w:r w:rsidRPr="00CB749C">
        <w:t>escrow account</w:t>
      </w:r>
      <w:r>
        <w:t xml:space="preserve"> (the “</w:t>
      </w:r>
      <w:r w:rsidRPr="00CB749C">
        <w:rPr>
          <w:b/>
          <w:bCs/>
          <w:i/>
          <w:iCs/>
        </w:rPr>
        <w:t>PPP Escrow Account</w:t>
      </w:r>
      <w:r>
        <w:t>”)</w:t>
      </w:r>
      <w:r>
        <w:rPr>
          <w:rStyle w:val="FootnoteReference"/>
        </w:rPr>
        <w:footnoteReference w:id="2"/>
      </w:r>
      <w:r>
        <w:t xml:space="preserve">, each such account to be established with </w:t>
      </w:r>
      <w:r>
        <w:t>[______]</w:t>
      </w:r>
      <w:r>
        <w:t xml:space="preserve"> Bank (the “</w:t>
      </w:r>
      <w:r w:rsidRPr="003E057B">
        <w:rPr>
          <w:b/>
          <w:i/>
        </w:rPr>
        <w:t>Escrow Agent</w:t>
      </w:r>
      <w:r>
        <w:t>”) pursuant to an escrow agreement (the “</w:t>
      </w:r>
      <w:r w:rsidRPr="003E057B">
        <w:rPr>
          <w:b/>
          <w:i/>
        </w:rPr>
        <w:t>Escrow Agreement</w:t>
      </w:r>
      <w:r>
        <w:t xml:space="preserve">”). The amount contained in the Indemnity Escrow Account shall secure the </w:t>
      </w:r>
      <w:r w:rsidRPr="003E057B">
        <w:t>Sellers</w:t>
      </w:r>
      <w:r>
        <w:t>’ indemnification obligations</w:t>
      </w:r>
      <w:bookmarkEnd w:id="0"/>
      <w:r>
        <w:t xml:space="preserve"> and the amount contained in the PPP Escrow Account shall secure the Seller’s indemnification obligations pursuant to </w:t>
      </w:r>
      <w:r w:rsidRPr="00D642ED">
        <w:rPr>
          <w:u w:val="single"/>
        </w:rPr>
        <w:t>Section 8.1(b)(ix)</w:t>
      </w:r>
      <w:r>
        <w:t>.</w:t>
      </w:r>
    </w:p>
    <w:p w14:paraId="48EEE47F" w14:textId="62F8D563" w:rsidR="007D08BC" w:rsidRPr="00786911" w:rsidRDefault="00786911" w:rsidP="00786911">
      <w:pPr>
        <w:pStyle w:val="ArticleL3"/>
        <w:numPr>
          <w:ilvl w:val="0"/>
          <w:numId w:val="0"/>
        </w:numPr>
        <w:jc w:val="both"/>
        <w:rPr>
          <w:sz w:val="24"/>
          <w:szCs w:val="24"/>
        </w:rPr>
      </w:pPr>
      <w:r w:rsidRPr="00786911">
        <w:rPr>
          <w:b/>
          <w:bCs/>
          <w:sz w:val="24"/>
          <w:szCs w:val="24"/>
        </w:rPr>
        <w:t>From an asset purchase agreement</w:t>
      </w:r>
      <w:r>
        <w:rPr>
          <w:sz w:val="24"/>
          <w:szCs w:val="24"/>
        </w:rPr>
        <w:t xml:space="preserve"> -</w:t>
      </w:r>
      <w:r w:rsidR="00493B9C">
        <w:rPr>
          <w:sz w:val="24"/>
          <w:szCs w:val="24"/>
        </w:rPr>
        <w:t xml:space="preserve"> </w:t>
      </w:r>
      <w:bookmarkStart w:id="1" w:name="_GoBack"/>
      <w:bookmarkEnd w:id="1"/>
      <w:r w:rsidRPr="00786911">
        <w:rPr>
          <w:sz w:val="24"/>
          <w:szCs w:val="24"/>
        </w:rPr>
        <w:t xml:space="preserve">provisions </w:t>
      </w:r>
      <w:r>
        <w:rPr>
          <w:sz w:val="24"/>
          <w:szCs w:val="24"/>
        </w:rPr>
        <w:t xml:space="preserve">mentioning PPP loans specifying it as an excluded liability and </w:t>
      </w:r>
      <w:r w:rsidRPr="00786911">
        <w:rPr>
          <w:sz w:val="24"/>
          <w:szCs w:val="24"/>
        </w:rPr>
        <w:t>then again in the indemnification clause</w:t>
      </w:r>
    </w:p>
    <w:p w14:paraId="2A001323" w14:textId="535DAA62" w:rsidR="00786911" w:rsidRDefault="00786911" w:rsidP="00786911">
      <w:pPr>
        <w:pStyle w:val="ArticleL3"/>
        <w:numPr>
          <w:ilvl w:val="0"/>
          <w:numId w:val="0"/>
        </w:numPr>
        <w:ind w:left="630"/>
      </w:pPr>
      <w:r>
        <w:rPr>
          <w:noProof/>
        </w:rPr>
        <w:drawing>
          <wp:inline distT="0" distB="0" distL="0" distR="0" wp14:anchorId="5F6C545A" wp14:editId="39B9B505">
            <wp:extent cx="5196840" cy="986067"/>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2676" cy="998559"/>
                    </a:xfrm>
                    <a:prstGeom prst="rect">
                      <a:avLst/>
                    </a:prstGeom>
                  </pic:spPr>
                </pic:pic>
              </a:graphicData>
            </a:graphic>
          </wp:inline>
        </w:drawing>
      </w:r>
    </w:p>
    <w:p w14:paraId="4B5E443F" w14:textId="3ED954F8" w:rsidR="00786911" w:rsidRDefault="00786911" w:rsidP="00786911">
      <w:pPr>
        <w:pStyle w:val="ArticleL3"/>
        <w:numPr>
          <w:ilvl w:val="0"/>
          <w:numId w:val="0"/>
        </w:numPr>
        <w:ind w:left="630"/>
      </w:pPr>
      <w:r>
        <w:rPr>
          <w:noProof/>
        </w:rPr>
        <w:drawing>
          <wp:inline distT="0" distB="0" distL="0" distR="0" wp14:anchorId="329D8456" wp14:editId="33481FFD">
            <wp:extent cx="5113020" cy="208836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2102" cy="2096157"/>
                    </a:xfrm>
                    <a:prstGeom prst="rect">
                      <a:avLst/>
                    </a:prstGeom>
                  </pic:spPr>
                </pic:pic>
              </a:graphicData>
            </a:graphic>
          </wp:inline>
        </w:drawing>
      </w:r>
    </w:p>
    <w:p w14:paraId="707098E7" w14:textId="77777777" w:rsidR="00B4148B" w:rsidRPr="00F152FC" w:rsidRDefault="00B4148B" w:rsidP="00B4148B">
      <w:pPr>
        <w:pStyle w:val="LexisNexisList2"/>
        <w:numPr>
          <w:ilvl w:val="0"/>
          <w:numId w:val="0"/>
        </w:numPr>
        <w:ind w:left="720"/>
        <w:rPr>
          <w:rStyle w:val="Heading2Char"/>
          <w:rFonts w:eastAsia="Calibri"/>
          <w:b w:val="0"/>
          <w:i/>
          <w:iCs/>
        </w:rPr>
      </w:pPr>
    </w:p>
    <w:p w14:paraId="5B04C0C6" w14:textId="77777777" w:rsidR="00375763" w:rsidRDefault="00375763"/>
    <w:sectPr w:rsidR="003757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BDB35" w14:textId="77777777" w:rsidR="007952AA" w:rsidRDefault="007952AA" w:rsidP="00B4148B">
      <w:pPr>
        <w:spacing w:after="0" w:line="240" w:lineRule="auto"/>
      </w:pPr>
      <w:r>
        <w:separator/>
      </w:r>
    </w:p>
  </w:endnote>
  <w:endnote w:type="continuationSeparator" w:id="0">
    <w:p w14:paraId="062D99DD" w14:textId="77777777" w:rsidR="007952AA" w:rsidRDefault="007952AA" w:rsidP="00B4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F935" w14:textId="77777777" w:rsidR="00493B9C" w:rsidRDefault="00493B9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9EDD381" w14:textId="77777777" w:rsidR="00493B9C" w:rsidRDefault="0049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1F490" w14:textId="77777777" w:rsidR="007952AA" w:rsidRDefault="007952AA" w:rsidP="00B4148B">
      <w:pPr>
        <w:spacing w:after="0" w:line="240" w:lineRule="auto"/>
      </w:pPr>
      <w:r>
        <w:separator/>
      </w:r>
    </w:p>
  </w:footnote>
  <w:footnote w:type="continuationSeparator" w:id="0">
    <w:p w14:paraId="3D879315" w14:textId="77777777" w:rsidR="007952AA" w:rsidRDefault="007952AA" w:rsidP="00B4148B">
      <w:pPr>
        <w:spacing w:after="0" w:line="240" w:lineRule="auto"/>
      </w:pPr>
      <w:r>
        <w:continuationSeparator/>
      </w:r>
    </w:p>
  </w:footnote>
  <w:footnote w:id="1">
    <w:p w14:paraId="67DB2476" w14:textId="77777777" w:rsidR="00B4148B" w:rsidRDefault="00B4148B" w:rsidP="00B4148B">
      <w:pPr>
        <w:pStyle w:val="FootnoteText"/>
      </w:pPr>
      <w:r>
        <w:rPr>
          <w:rStyle w:val="FootnoteReference"/>
        </w:rPr>
        <w:footnoteRef/>
      </w:r>
      <w:r>
        <w:t xml:space="preserve"> </w:t>
      </w:r>
      <w:proofErr w:type="spellStart"/>
      <w:r>
        <w:t>NTD</w:t>
      </w:r>
      <w:proofErr w:type="spellEnd"/>
      <w:r>
        <w:t xml:space="preserve">: Indemnity Escrow to be released in 12 months per the Escrow Agreement. </w:t>
      </w:r>
    </w:p>
  </w:footnote>
  <w:footnote w:id="2">
    <w:p w14:paraId="5D12A5B2" w14:textId="77777777" w:rsidR="00B4148B" w:rsidRDefault="00B4148B" w:rsidP="00B4148B">
      <w:pPr>
        <w:pStyle w:val="FootnoteText"/>
      </w:pPr>
      <w:r>
        <w:rPr>
          <w:rStyle w:val="FootnoteReference"/>
        </w:rPr>
        <w:footnoteRef/>
      </w:r>
      <w:r>
        <w:t xml:space="preserve"> </w:t>
      </w:r>
      <w:proofErr w:type="spellStart"/>
      <w:r>
        <w:t>NTD</w:t>
      </w:r>
      <w:proofErr w:type="spellEnd"/>
      <w:r>
        <w:t xml:space="preserve">: PPP Escrow to be released upon forgiveness of PPP loan by the SBA.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2BA9"/>
    <w:multiLevelType w:val="multilevel"/>
    <w:tmpl w:val="605E56D0"/>
    <w:name w:val="zzmpArticle||Article|2|1|1|5|0|41||1|0|1||1|0|1||1|0|1||1|0|0||1|0|0||1|0|0||1|0|0||1|0|0||"/>
    <w:lvl w:ilvl="0">
      <w:start w:val="1"/>
      <w:numFmt w:val="upperRoman"/>
      <w:pStyle w:val="ArticleL1"/>
      <w:suff w:val="nothing"/>
      <w:lvlText w:val="Article %1"/>
      <w:lvlJc w:val="left"/>
      <w:pPr>
        <w:ind w:left="2400" w:firstLine="0"/>
      </w:pPr>
      <w:rPr>
        <w:rFonts w:ascii="Times New Roman" w:hAnsi="Times New Roman" w:cs="Times New Roman" w:hint="default"/>
        <w:b/>
        <w:bCs/>
        <w:i w:val="0"/>
        <w:iCs w:val="0"/>
        <w:caps/>
        <w:smallCaps w:val="0"/>
        <w:color w:val="auto"/>
        <w:sz w:val="22"/>
        <w:szCs w:val="22"/>
        <w:u w:val="none"/>
      </w:rPr>
    </w:lvl>
    <w:lvl w:ilvl="1">
      <w:start w:val="1"/>
      <w:numFmt w:val="decimal"/>
      <w:pStyle w:val="ArticleL2"/>
      <w:isLgl/>
      <w:lvlText w:val="%1.%2"/>
      <w:lvlJc w:val="left"/>
      <w:pPr>
        <w:tabs>
          <w:tab w:val="num" w:pos="1420"/>
        </w:tabs>
        <w:ind w:left="-20" w:firstLine="720"/>
      </w:pPr>
      <w:rPr>
        <w:rFonts w:ascii="Times New Roman" w:hAnsi="Times New Roman" w:cs="Times New Roman" w:hint="default"/>
        <w:b/>
        <w:bCs/>
        <w:i w:val="0"/>
        <w:iCs w:val="0"/>
        <w:caps w:val="0"/>
        <w:color w:val="auto"/>
        <w:sz w:val="24"/>
        <w:szCs w:val="24"/>
        <w:u w:val="none"/>
      </w:rPr>
    </w:lvl>
    <w:lvl w:ilvl="2">
      <w:start w:val="1"/>
      <w:numFmt w:val="decimal"/>
      <w:pStyle w:val="ArticleL3"/>
      <w:lvlText w:val="%1.%2.%3"/>
      <w:lvlJc w:val="left"/>
      <w:pPr>
        <w:tabs>
          <w:tab w:val="num" w:pos="2160"/>
        </w:tabs>
        <w:ind w:left="0" w:firstLine="1440"/>
      </w:pPr>
      <w:rPr>
        <w:rFonts w:ascii="Times New Roman" w:hAnsi="Times New Roman" w:cs="Times New Roman" w:hint="default"/>
        <w:b w:val="0"/>
        <w:bCs w:val="0"/>
        <w:i w:val="0"/>
        <w:iCs w:val="0"/>
        <w:caps w:val="0"/>
        <w:color w:val="auto"/>
        <w:sz w:val="20"/>
        <w:szCs w:val="20"/>
        <w:u w:val="none"/>
      </w:rPr>
    </w:lvl>
    <w:lvl w:ilvl="3">
      <w:start w:val="1"/>
      <w:numFmt w:val="lowerLetter"/>
      <w:pStyle w:val="ArticleL4"/>
      <w:lvlText w:val="(%4)"/>
      <w:lvlJc w:val="left"/>
      <w:pPr>
        <w:tabs>
          <w:tab w:val="num" w:pos="720"/>
        </w:tabs>
        <w:ind w:left="-1440" w:firstLine="1440"/>
      </w:pPr>
      <w:rPr>
        <w:rFonts w:hint="default"/>
        <w:b w:val="0"/>
        <w:bCs w:val="0"/>
        <w:i w:val="0"/>
        <w:iCs w:val="0"/>
        <w:caps w:val="0"/>
        <w:color w:val="auto"/>
        <w:sz w:val="22"/>
        <w:szCs w:val="22"/>
        <w:u w:val="none"/>
      </w:rPr>
    </w:lvl>
    <w:lvl w:ilvl="4">
      <w:start w:val="1"/>
      <w:numFmt w:val="lowerRoman"/>
      <w:pStyle w:val="ArticleL5"/>
      <w:lvlText w:val="(%5)"/>
      <w:lvlJc w:val="left"/>
      <w:pPr>
        <w:tabs>
          <w:tab w:val="num" w:pos="2820"/>
        </w:tabs>
        <w:ind w:left="-60" w:firstLine="2160"/>
      </w:pPr>
      <w:rPr>
        <w:rFonts w:ascii="Times New Roman" w:hAnsi="Times New Roman" w:cs="Times New Roman" w:hint="default"/>
        <w:b w:val="0"/>
        <w:bCs w:val="0"/>
        <w:i w:val="0"/>
        <w:iCs w:val="0"/>
        <w:caps w:val="0"/>
        <w:color w:val="auto"/>
        <w:sz w:val="22"/>
        <w:szCs w:val="22"/>
        <w:u w:val="none"/>
      </w:rPr>
    </w:lvl>
    <w:lvl w:ilvl="5">
      <w:start w:val="1"/>
      <w:numFmt w:val="upperLetter"/>
      <w:pStyle w:val="ArticleL6"/>
      <w:lvlText w:val="(%6)"/>
      <w:lvlJc w:val="left"/>
      <w:pPr>
        <w:tabs>
          <w:tab w:val="num" w:pos="3600"/>
        </w:tabs>
        <w:ind w:left="720" w:firstLine="2160"/>
      </w:pPr>
      <w:rPr>
        <w:rFonts w:ascii="Times New Roman" w:hAnsi="Times New Roman" w:cs="Times New Roman" w:hint="default"/>
        <w:b w:val="0"/>
        <w:bCs w:val="0"/>
        <w:i w:val="0"/>
        <w:iCs w:val="0"/>
        <w:caps w:val="0"/>
        <w:color w:val="auto"/>
        <w:sz w:val="24"/>
        <w:szCs w:val="24"/>
        <w:u w:val="none"/>
      </w:rPr>
    </w:lvl>
    <w:lvl w:ilvl="6">
      <w:start w:val="1"/>
      <w:numFmt w:val="lowerLetter"/>
      <w:pStyle w:val="ArticleL7"/>
      <w:lvlText w:val="(%7)"/>
      <w:lvlJc w:val="left"/>
      <w:pPr>
        <w:tabs>
          <w:tab w:val="num" w:pos="2160"/>
        </w:tabs>
        <w:ind w:left="0" w:firstLine="1440"/>
      </w:pPr>
      <w:rPr>
        <w:rFonts w:ascii="Times New Roman" w:hAnsi="Times New Roman" w:cs="Times New Roman" w:hint="default"/>
        <w:b w:val="0"/>
        <w:bCs w:val="0"/>
        <w:i w:val="0"/>
        <w:iCs w:val="0"/>
        <w:caps w:val="0"/>
        <w:color w:val="auto"/>
        <w:sz w:val="20"/>
        <w:szCs w:val="20"/>
        <w:u w:val="none"/>
      </w:rPr>
    </w:lvl>
    <w:lvl w:ilvl="7">
      <w:start w:val="1"/>
      <w:numFmt w:val="lowerRoman"/>
      <w:pStyle w:val="ArticleL8"/>
      <w:lvlText w:val="(%8)"/>
      <w:lvlJc w:val="left"/>
      <w:pPr>
        <w:tabs>
          <w:tab w:val="num" w:pos="2880"/>
        </w:tabs>
        <w:ind w:left="0" w:firstLine="2160"/>
      </w:pPr>
      <w:rPr>
        <w:rFonts w:ascii="Times New Roman" w:hAnsi="Times New Roman" w:cs="Times New Roman" w:hint="default"/>
        <w:b w:val="0"/>
        <w:bCs w:val="0"/>
        <w:i w:val="0"/>
        <w:iCs w:val="0"/>
        <w:caps w:val="0"/>
        <w:color w:val="auto"/>
        <w:sz w:val="20"/>
        <w:szCs w:val="20"/>
        <w:u w:val="none"/>
      </w:rPr>
    </w:lvl>
    <w:lvl w:ilvl="8">
      <w:start w:val="1"/>
      <w:numFmt w:val="decimal"/>
      <w:pStyle w:val="ArticleL9"/>
      <w:lvlText w:val="(%9)"/>
      <w:lvlJc w:val="left"/>
      <w:pPr>
        <w:tabs>
          <w:tab w:val="num" w:pos="3600"/>
        </w:tabs>
        <w:ind w:left="0" w:firstLine="2880"/>
      </w:pPr>
      <w:rPr>
        <w:rFonts w:ascii="Times New Roman" w:hAnsi="Times New Roman" w:cs="Times New Roman" w:hint="default"/>
        <w:b w:val="0"/>
        <w:bCs w:val="0"/>
        <w:i w:val="0"/>
        <w:iCs w:val="0"/>
        <w:caps w:val="0"/>
        <w:color w:val="auto"/>
        <w:sz w:val="20"/>
        <w:szCs w:val="20"/>
        <w:u w:val="none"/>
      </w:rPr>
    </w:lvl>
  </w:abstractNum>
  <w:abstractNum w:abstractNumId="1" w15:restartNumberingAfterBreak="0">
    <w:nsid w:val="404009B9"/>
    <w:multiLevelType w:val="multilevel"/>
    <w:tmpl w:val="39A28682"/>
    <w:lvl w:ilvl="0">
      <w:start w:val="1"/>
      <w:numFmt w:val="upperRoman"/>
      <w:pStyle w:val="LexisNexisList1"/>
      <w:suff w:val="space"/>
      <w:lvlText w:val="Article %1."/>
      <w:lvlJc w:val="left"/>
      <w:pPr>
        <w:ind w:left="0" w:firstLine="0"/>
      </w:pPr>
      <w:rPr>
        <w:rFonts w:hint="default"/>
        <w:b/>
        <w:bCs w:val="0"/>
        <w:i w:val="0"/>
        <w:iCs w:val="0"/>
        <w:caps/>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LexisNexisList2"/>
      <w:isLgl/>
      <w:lvlText w:val="Section %1.%2."/>
      <w:lvlJc w:val="left"/>
      <w:pPr>
        <w:tabs>
          <w:tab w:val="num" w:pos="2088"/>
        </w:tabs>
        <w:ind w:left="0" w:firstLine="720"/>
      </w:pPr>
      <w:rPr>
        <w:rFonts w:hint="default"/>
        <w:b/>
        <w:i w:val="0"/>
      </w:rPr>
    </w:lvl>
    <w:lvl w:ilvl="2">
      <w:start w:val="1"/>
      <w:numFmt w:val="lowerLetter"/>
      <w:pStyle w:val="LexisNexisList3"/>
      <w:lvlText w:val="(%3)"/>
      <w:lvlJc w:val="left"/>
      <w:pPr>
        <w:tabs>
          <w:tab w:val="num" w:pos="1224"/>
        </w:tabs>
        <w:ind w:left="1224" w:hanging="504"/>
      </w:pPr>
      <w:rPr>
        <w:rFonts w:hint="default"/>
        <w:b w:val="0"/>
        <w:i w:val="0"/>
      </w:rPr>
    </w:lvl>
    <w:lvl w:ilvl="3">
      <w:start w:val="1"/>
      <w:numFmt w:val="decimal"/>
      <w:pStyle w:val="LexisNexisList4"/>
      <w:lvlText w:val="(%4)"/>
      <w:lvlJc w:val="left"/>
      <w:pPr>
        <w:tabs>
          <w:tab w:val="num" w:pos="1728"/>
        </w:tabs>
        <w:ind w:left="1728" w:hanging="504"/>
      </w:pPr>
      <w:rPr>
        <w:rFonts w:hint="default"/>
      </w:rPr>
    </w:lvl>
    <w:lvl w:ilvl="4">
      <w:start w:val="1"/>
      <w:numFmt w:val="lowerRoman"/>
      <w:pStyle w:val="LexisNexisList5"/>
      <w:lvlText w:val="(%5)"/>
      <w:lvlJc w:val="left"/>
      <w:pPr>
        <w:tabs>
          <w:tab w:val="num" w:pos="2232"/>
        </w:tabs>
        <w:ind w:left="2232" w:hanging="504"/>
      </w:pPr>
      <w:rPr>
        <w:rFonts w:hint="default"/>
      </w:rPr>
    </w:lvl>
    <w:lvl w:ilvl="5">
      <w:start w:val="1"/>
      <w:numFmt w:val="upperLetter"/>
      <w:pStyle w:val="LexisNexisList6"/>
      <w:lvlText w:val="(%6)"/>
      <w:lvlJc w:val="left"/>
      <w:pPr>
        <w:tabs>
          <w:tab w:val="num" w:pos="2736"/>
        </w:tabs>
        <w:ind w:left="2736" w:hanging="504"/>
      </w:pPr>
      <w:rPr>
        <w:rFonts w:hint="default"/>
      </w:rPr>
    </w:lvl>
    <w:lvl w:ilvl="6">
      <w:start w:val="1"/>
      <w:numFmt w:val="decimal"/>
      <w:pStyle w:val="LexisNexisList7"/>
      <w:lvlText w:val="%7."/>
      <w:lvlJc w:val="left"/>
      <w:pPr>
        <w:tabs>
          <w:tab w:val="num" w:pos="360"/>
        </w:tabs>
        <w:ind w:left="360" w:hanging="360"/>
      </w:pPr>
      <w:rPr>
        <w:rFonts w:hint="default"/>
      </w:rPr>
    </w:lvl>
    <w:lvl w:ilvl="7">
      <w:start w:val="1"/>
      <w:numFmt w:val="lowerLetter"/>
      <w:pStyle w:val="LexisNexisList8"/>
      <w:lvlText w:val="%8."/>
      <w:lvlJc w:val="left"/>
      <w:pPr>
        <w:tabs>
          <w:tab w:val="num" w:pos="936"/>
        </w:tabs>
        <w:ind w:left="936" w:hanging="576"/>
      </w:pPr>
      <w:rPr>
        <w:rFonts w:hint="default"/>
      </w:rPr>
    </w:lvl>
    <w:lvl w:ilvl="8">
      <w:start w:val="1"/>
      <w:numFmt w:val="lowerRoman"/>
      <w:pStyle w:val="LexisNexisList9"/>
      <w:lvlText w:val="%9."/>
      <w:lvlJc w:val="left"/>
      <w:pPr>
        <w:tabs>
          <w:tab w:val="num" w:pos="1440"/>
        </w:tabs>
        <w:ind w:left="1440" w:hanging="504"/>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8B"/>
    <w:rsid w:val="00375763"/>
    <w:rsid w:val="00493B9C"/>
    <w:rsid w:val="005457F0"/>
    <w:rsid w:val="00786911"/>
    <w:rsid w:val="00790E9D"/>
    <w:rsid w:val="007952AA"/>
    <w:rsid w:val="007D08BC"/>
    <w:rsid w:val="00942A5D"/>
    <w:rsid w:val="00A1339F"/>
    <w:rsid w:val="00B4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6320"/>
  <w15:chartTrackingRefBased/>
  <w15:docId w15:val="{F66D69AD-17D8-4C39-B786-F7FF6E2A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2"/>
    <w:basedOn w:val="Normal"/>
    <w:next w:val="BodyText"/>
    <w:link w:val="Heading2Char"/>
    <w:uiPriority w:val="9"/>
    <w:qFormat/>
    <w:rsid w:val="00B4148B"/>
    <w:pPr>
      <w:keepNext/>
      <w:keepLines/>
      <w:widowControl w:val="0"/>
      <w:autoSpaceDE w:val="0"/>
      <w:autoSpaceDN w:val="0"/>
      <w:adjustRightInd w:val="0"/>
      <w:spacing w:before="240" w:after="0" w:line="240" w:lineRule="exact"/>
      <w:ind w:right="720"/>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
    <w:rsid w:val="00B4148B"/>
    <w:rPr>
      <w:rFonts w:ascii="Times New Roman" w:eastAsia="Times New Roman" w:hAnsi="Times New Roman" w:cs="Times New Roman"/>
      <w:b/>
      <w:bCs/>
      <w:sz w:val="24"/>
      <w:szCs w:val="24"/>
    </w:rPr>
  </w:style>
  <w:style w:type="character" w:styleId="CommentReference">
    <w:name w:val="annotation reference"/>
    <w:aliases w:val="Style 31"/>
    <w:basedOn w:val="DefaultParagraphFont"/>
    <w:rsid w:val="00B4148B"/>
    <w:rPr>
      <w:rFonts w:cs="Times New Roman"/>
      <w:sz w:val="16"/>
    </w:rPr>
  </w:style>
  <w:style w:type="paragraph" w:styleId="CommentText">
    <w:name w:val="annotation text"/>
    <w:aliases w:val="Style 32"/>
    <w:basedOn w:val="Normal"/>
    <w:next w:val="Normal"/>
    <w:link w:val="CommentTextChar"/>
    <w:rsid w:val="00B4148B"/>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aliases w:val="Style 32 Char"/>
    <w:basedOn w:val="DefaultParagraphFont"/>
    <w:link w:val="CommentText"/>
    <w:rsid w:val="00B4148B"/>
    <w:rPr>
      <w:rFonts w:ascii="Times New Roman" w:eastAsia="Times New Roman" w:hAnsi="Times New Roman" w:cs="Times New Roman"/>
      <w:sz w:val="20"/>
      <w:szCs w:val="20"/>
    </w:rPr>
  </w:style>
  <w:style w:type="paragraph" w:customStyle="1" w:styleId="LexisNexisList1">
    <w:name w:val="LexisNexisList1"/>
    <w:basedOn w:val="Normal"/>
    <w:qFormat/>
    <w:rsid w:val="00B4148B"/>
    <w:pPr>
      <w:numPr>
        <w:numId w:val="1"/>
      </w:numPr>
      <w:spacing w:before="360" w:after="120" w:line="240" w:lineRule="auto"/>
    </w:pPr>
    <w:rPr>
      <w:rFonts w:ascii="Times New Roman" w:eastAsia="Calibri" w:hAnsi="Times New Roman" w:cs="Times New Roman"/>
      <w:sz w:val="24"/>
    </w:rPr>
  </w:style>
  <w:style w:type="paragraph" w:customStyle="1" w:styleId="LexisNexisList2">
    <w:name w:val="LexisNexisList2"/>
    <w:basedOn w:val="Normal"/>
    <w:qFormat/>
    <w:rsid w:val="00B4148B"/>
    <w:pPr>
      <w:numPr>
        <w:ilvl w:val="1"/>
        <w:numId w:val="1"/>
      </w:numPr>
      <w:spacing w:before="120" w:after="120" w:line="240" w:lineRule="auto"/>
    </w:pPr>
    <w:rPr>
      <w:rFonts w:ascii="Times New Roman" w:eastAsia="Calibri" w:hAnsi="Times New Roman" w:cs="Times New Roman"/>
      <w:sz w:val="24"/>
    </w:rPr>
  </w:style>
  <w:style w:type="paragraph" w:customStyle="1" w:styleId="LexisNexisList3">
    <w:name w:val="LexisNexisList3"/>
    <w:basedOn w:val="Normal"/>
    <w:qFormat/>
    <w:rsid w:val="00B4148B"/>
    <w:pPr>
      <w:numPr>
        <w:ilvl w:val="2"/>
        <w:numId w:val="1"/>
      </w:numPr>
      <w:spacing w:before="120" w:after="120" w:line="240" w:lineRule="auto"/>
    </w:pPr>
    <w:rPr>
      <w:rFonts w:ascii="Times New Roman" w:eastAsia="Calibri" w:hAnsi="Times New Roman" w:cs="Times New Roman"/>
      <w:sz w:val="24"/>
    </w:rPr>
  </w:style>
  <w:style w:type="paragraph" w:customStyle="1" w:styleId="LexisNexisList4">
    <w:name w:val="LexisNexisList4"/>
    <w:basedOn w:val="Normal"/>
    <w:qFormat/>
    <w:rsid w:val="00B4148B"/>
    <w:pPr>
      <w:numPr>
        <w:ilvl w:val="3"/>
        <w:numId w:val="1"/>
      </w:numPr>
      <w:spacing w:before="120" w:after="120" w:line="240" w:lineRule="auto"/>
    </w:pPr>
    <w:rPr>
      <w:rFonts w:ascii="Times New Roman" w:eastAsia="Calibri" w:hAnsi="Times New Roman" w:cs="Times New Roman"/>
      <w:sz w:val="24"/>
    </w:rPr>
  </w:style>
  <w:style w:type="paragraph" w:customStyle="1" w:styleId="LexisNexisList5">
    <w:name w:val="LexisNexisList5"/>
    <w:basedOn w:val="Normal"/>
    <w:qFormat/>
    <w:rsid w:val="00B4148B"/>
    <w:pPr>
      <w:numPr>
        <w:ilvl w:val="4"/>
        <w:numId w:val="1"/>
      </w:numPr>
      <w:spacing w:before="120" w:after="120" w:line="240" w:lineRule="auto"/>
    </w:pPr>
    <w:rPr>
      <w:rFonts w:ascii="Times New Roman" w:eastAsia="Calibri" w:hAnsi="Times New Roman" w:cs="Times New Roman"/>
      <w:sz w:val="24"/>
    </w:rPr>
  </w:style>
  <w:style w:type="paragraph" w:customStyle="1" w:styleId="LexisNexisList6">
    <w:name w:val="LexisNexisList6"/>
    <w:basedOn w:val="Normal"/>
    <w:qFormat/>
    <w:rsid w:val="00B4148B"/>
    <w:pPr>
      <w:numPr>
        <w:ilvl w:val="5"/>
        <w:numId w:val="1"/>
      </w:numPr>
      <w:spacing w:before="120" w:after="120" w:line="240" w:lineRule="auto"/>
    </w:pPr>
    <w:rPr>
      <w:rFonts w:ascii="Times New Roman" w:eastAsia="Calibri" w:hAnsi="Times New Roman" w:cs="Times New Roman"/>
      <w:sz w:val="24"/>
    </w:rPr>
  </w:style>
  <w:style w:type="paragraph" w:customStyle="1" w:styleId="LexisNexisList7">
    <w:name w:val="LexisNexisList7"/>
    <w:basedOn w:val="Normal"/>
    <w:qFormat/>
    <w:rsid w:val="00B4148B"/>
    <w:pPr>
      <w:numPr>
        <w:ilvl w:val="6"/>
        <w:numId w:val="1"/>
      </w:numPr>
      <w:spacing w:before="120" w:after="120" w:line="240" w:lineRule="auto"/>
    </w:pPr>
    <w:rPr>
      <w:rFonts w:ascii="Times New Roman" w:eastAsia="Calibri" w:hAnsi="Times New Roman" w:cs="Times New Roman"/>
      <w:sz w:val="24"/>
    </w:rPr>
  </w:style>
  <w:style w:type="paragraph" w:customStyle="1" w:styleId="LexisNexisList8">
    <w:name w:val="LexisNexisList8"/>
    <w:basedOn w:val="Normal"/>
    <w:qFormat/>
    <w:rsid w:val="00B4148B"/>
    <w:pPr>
      <w:numPr>
        <w:ilvl w:val="7"/>
        <w:numId w:val="1"/>
      </w:numPr>
      <w:spacing w:before="120" w:after="120" w:line="240" w:lineRule="auto"/>
    </w:pPr>
    <w:rPr>
      <w:rFonts w:ascii="Times New Roman" w:eastAsia="Calibri" w:hAnsi="Times New Roman" w:cs="Times New Roman"/>
      <w:sz w:val="24"/>
    </w:rPr>
  </w:style>
  <w:style w:type="paragraph" w:customStyle="1" w:styleId="LexisNexisList9">
    <w:name w:val="LexisNexisList9"/>
    <w:basedOn w:val="Normal"/>
    <w:qFormat/>
    <w:rsid w:val="00B4148B"/>
    <w:pPr>
      <w:numPr>
        <w:ilvl w:val="8"/>
        <w:numId w:val="1"/>
      </w:numPr>
      <w:spacing w:before="120" w:after="120" w:line="240" w:lineRule="auto"/>
    </w:pPr>
    <w:rPr>
      <w:rFonts w:ascii="Times New Roman" w:eastAsia="Calibri" w:hAnsi="Times New Roman" w:cs="Times New Roman"/>
      <w:sz w:val="24"/>
    </w:rPr>
  </w:style>
  <w:style w:type="paragraph" w:styleId="BodyText">
    <w:name w:val="Body Text"/>
    <w:basedOn w:val="Normal"/>
    <w:link w:val="BodyTextChar"/>
    <w:uiPriority w:val="99"/>
    <w:semiHidden/>
    <w:unhideWhenUsed/>
    <w:rsid w:val="00B4148B"/>
    <w:pPr>
      <w:spacing w:after="120"/>
    </w:pPr>
  </w:style>
  <w:style w:type="character" w:customStyle="1" w:styleId="BodyTextChar">
    <w:name w:val="Body Text Char"/>
    <w:basedOn w:val="DefaultParagraphFont"/>
    <w:link w:val="BodyText"/>
    <w:uiPriority w:val="99"/>
    <w:semiHidden/>
    <w:rsid w:val="00B4148B"/>
  </w:style>
  <w:style w:type="paragraph" w:styleId="BalloonText">
    <w:name w:val="Balloon Text"/>
    <w:basedOn w:val="Normal"/>
    <w:link w:val="BalloonTextChar"/>
    <w:uiPriority w:val="99"/>
    <w:semiHidden/>
    <w:unhideWhenUsed/>
    <w:rsid w:val="00B41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48B"/>
    <w:rPr>
      <w:rFonts w:ascii="Segoe UI" w:hAnsi="Segoe UI" w:cs="Segoe UI"/>
      <w:sz w:val="18"/>
      <w:szCs w:val="18"/>
    </w:rPr>
  </w:style>
  <w:style w:type="character" w:styleId="FootnoteReference">
    <w:name w:val="footnote reference"/>
    <w:aliases w:val="Style 18,Style 38"/>
    <w:semiHidden/>
    <w:rsid w:val="00B4148B"/>
    <w:rPr>
      <w:rFonts w:cs="Times New Roman"/>
      <w:vertAlign w:val="superscript"/>
    </w:rPr>
  </w:style>
  <w:style w:type="paragraph" w:styleId="FootnoteText">
    <w:name w:val="footnote text"/>
    <w:aliases w:val="Style 19,Style 39,footnote text1"/>
    <w:basedOn w:val="Normal"/>
    <w:link w:val="FootnoteTextChar"/>
    <w:autoRedefine/>
    <w:semiHidden/>
    <w:rsid w:val="00B4148B"/>
    <w:pPr>
      <w:tabs>
        <w:tab w:val="left" w:pos="180"/>
      </w:tabs>
      <w:spacing w:after="120" w:line="240" w:lineRule="auto"/>
      <w:ind w:left="180" w:hanging="180"/>
      <w:jc w:val="both"/>
    </w:pPr>
    <w:rPr>
      <w:rFonts w:ascii="Times New Roman" w:eastAsia="Times New Roman" w:hAnsi="Times New Roman" w:cs="Times New Roman"/>
      <w:sz w:val="20"/>
      <w:szCs w:val="20"/>
    </w:rPr>
  </w:style>
  <w:style w:type="character" w:customStyle="1" w:styleId="FootnoteTextChar">
    <w:name w:val="Footnote Text Char"/>
    <w:aliases w:val="Style 19 Char,Style 39 Char,footnote text1 Char"/>
    <w:basedOn w:val="DefaultParagraphFont"/>
    <w:link w:val="FootnoteText"/>
    <w:semiHidden/>
    <w:rsid w:val="00B4148B"/>
    <w:rPr>
      <w:rFonts w:ascii="Times New Roman" w:eastAsia="Times New Roman" w:hAnsi="Times New Roman" w:cs="Times New Roman"/>
      <w:sz w:val="20"/>
      <w:szCs w:val="20"/>
    </w:rPr>
  </w:style>
  <w:style w:type="paragraph" w:customStyle="1" w:styleId="ArticleL1">
    <w:name w:val="Article_L1"/>
    <w:basedOn w:val="Normal"/>
    <w:next w:val="BodyText"/>
    <w:rsid w:val="00B4148B"/>
    <w:pPr>
      <w:numPr>
        <w:numId w:val="2"/>
      </w:numPr>
      <w:spacing w:after="240" w:line="240" w:lineRule="auto"/>
      <w:jc w:val="center"/>
      <w:outlineLvl w:val="0"/>
    </w:pPr>
    <w:rPr>
      <w:rFonts w:ascii="Times New Roman" w:eastAsia="Times New Roman" w:hAnsi="Times New Roman" w:cs="Times New Roman"/>
      <w:b/>
      <w:bCs/>
      <w:caps/>
      <w:sz w:val="24"/>
      <w:szCs w:val="24"/>
    </w:rPr>
  </w:style>
  <w:style w:type="paragraph" w:customStyle="1" w:styleId="ArticleL2">
    <w:name w:val="Article_L2"/>
    <w:basedOn w:val="ArticleL1"/>
    <w:link w:val="ArticleL2Char"/>
    <w:rsid w:val="00B4148B"/>
    <w:pPr>
      <w:keepLines/>
      <w:numPr>
        <w:ilvl w:val="1"/>
      </w:numPr>
      <w:spacing w:before="120"/>
      <w:jc w:val="left"/>
      <w:outlineLvl w:val="1"/>
    </w:pPr>
    <w:rPr>
      <w:b w:val="0"/>
      <w:bCs w:val="0"/>
      <w:caps w:val="0"/>
    </w:rPr>
  </w:style>
  <w:style w:type="paragraph" w:customStyle="1" w:styleId="ArticleL3">
    <w:name w:val="Article_L3"/>
    <w:basedOn w:val="ArticleL2"/>
    <w:rsid w:val="00B4148B"/>
    <w:pPr>
      <w:numPr>
        <w:ilvl w:val="2"/>
      </w:numPr>
      <w:outlineLvl w:val="2"/>
    </w:pPr>
    <w:rPr>
      <w:sz w:val="20"/>
      <w:szCs w:val="20"/>
    </w:rPr>
  </w:style>
  <w:style w:type="paragraph" w:customStyle="1" w:styleId="ArticleL4">
    <w:name w:val="Article_L4"/>
    <w:basedOn w:val="ArticleL3"/>
    <w:link w:val="ArticleL4Char"/>
    <w:rsid w:val="00B4148B"/>
    <w:pPr>
      <w:numPr>
        <w:ilvl w:val="3"/>
      </w:numPr>
      <w:outlineLvl w:val="3"/>
    </w:pPr>
    <w:rPr>
      <w:sz w:val="24"/>
      <w:szCs w:val="24"/>
    </w:rPr>
  </w:style>
  <w:style w:type="character" w:customStyle="1" w:styleId="ArticleL4Char">
    <w:name w:val="Article_L4 Char"/>
    <w:link w:val="ArticleL4"/>
    <w:locked/>
    <w:rsid w:val="00B4148B"/>
    <w:rPr>
      <w:rFonts w:ascii="Times New Roman" w:eastAsia="Times New Roman" w:hAnsi="Times New Roman" w:cs="Times New Roman"/>
      <w:sz w:val="24"/>
      <w:szCs w:val="24"/>
    </w:rPr>
  </w:style>
  <w:style w:type="paragraph" w:customStyle="1" w:styleId="ArticleL5">
    <w:name w:val="Article_L5"/>
    <w:basedOn w:val="ArticleL4"/>
    <w:rsid w:val="00B4148B"/>
    <w:pPr>
      <w:numPr>
        <w:ilvl w:val="4"/>
      </w:numPr>
      <w:tabs>
        <w:tab w:val="clear" w:pos="2820"/>
        <w:tab w:val="num" w:pos="360"/>
      </w:tabs>
      <w:outlineLvl w:val="4"/>
    </w:pPr>
  </w:style>
  <w:style w:type="paragraph" w:customStyle="1" w:styleId="ArticleL6">
    <w:name w:val="Article_L6"/>
    <w:basedOn w:val="ArticleL5"/>
    <w:next w:val="ArticleL5"/>
    <w:rsid w:val="00B4148B"/>
    <w:pPr>
      <w:numPr>
        <w:ilvl w:val="5"/>
      </w:numPr>
      <w:tabs>
        <w:tab w:val="clear" w:pos="3600"/>
        <w:tab w:val="num" w:pos="360"/>
      </w:tabs>
      <w:outlineLvl w:val="5"/>
    </w:pPr>
  </w:style>
  <w:style w:type="paragraph" w:customStyle="1" w:styleId="ArticleL7">
    <w:name w:val="Article_L7"/>
    <w:basedOn w:val="ArticleL6"/>
    <w:next w:val="BodyText"/>
    <w:rsid w:val="00B4148B"/>
    <w:pPr>
      <w:numPr>
        <w:ilvl w:val="6"/>
      </w:numPr>
      <w:tabs>
        <w:tab w:val="clear" w:pos="2160"/>
        <w:tab w:val="num" w:pos="360"/>
      </w:tabs>
      <w:outlineLvl w:val="6"/>
    </w:pPr>
  </w:style>
  <w:style w:type="paragraph" w:customStyle="1" w:styleId="ArticleL8">
    <w:name w:val="Article_L8"/>
    <w:basedOn w:val="ArticleL7"/>
    <w:next w:val="BodyText"/>
    <w:rsid w:val="00B4148B"/>
    <w:pPr>
      <w:numPr>
        <w:ilvl w:val="7"/>
      </w:numPr>
      <w:tabs>
        <w:tab w:val="clear" w:pos="2880"/>
        <w:tab w:val="num" w:pos="360"/>
      </w:tabs>
      <w:outlineLvl w:val="7"/>
    </w:pPr>
    <w:rPr>
      <w:sz w:val="20"/>
      <w:szCs w:val="20"/>
    </w:rPr>
  </w:style>
  <w:style w:type="paragraph" w:customStyle="1" w:styleId="ArticleL9">
    <w:name w:val="Article_L9"/>
    <w:basedOn w:val="ArticleL8"/>
    <w:next w:val="BodyText"/>
    <w:rsid w:val="00B4148B"/>
    <w:pPr>
      <w:numPr>
        <w:ilvl w:val="8"/>
      </w:numPr>
      <w:tabs>
        <w:tab w:val="clear" w:pos="3600"/>
        <w:tab w:val="num" w:pos="360"/>
      </w:tabs>
      <w:outlineLvl w:val="8"/>
    </w:pPr>
  </w:style>
  <w:style w:type="character" w:customStyle="1" w:styleId="ArticleL2Char">
    <w:name w:val="Article_L2 Char"/>
    <w:link w:val="ArticleL2"/>
    <w:locked/>
    <w:rsid w:val="007D08B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6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911"/>
  </w:style>
  <w:style w:type="paragraph" w:styleId="Footer">
    <w:name w:val="footer"/>
    <w:basedOn w:val="Normal"/>
    <w:link w:val="FooterChar"/>
    <w:uiPriority w:val="99"/>
    <w:unhideWhenUsed/>
    <w:rsid w:val="00786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Johnston</dc:creator>
  <cp:keywords/>
  <dc:description/>
  <cp:lastModifiedBy>Clinton Johnston</cp:lastModifiedBy>
  <cp:revision>3</cp:revision>
  <dcterms:created xsi:type="dcterms:W3CDTF">2020-10-26T15:40:00Z</dcterms:created>
  <dcterms:modified xsi:type="dcterms:W3CDTF">2020-10-26T19:43:00Z</dcterms:modified>
</cp:coreProperties>
</file>